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mbria" w:cs="Cambria" w:eastAsia="Cambria" w:hAnsi="Cambria"/>
          <w:b/>
          <w:bCs/>
          <w:color w:val="1B2A41"/>
          <w:sz w:val="56"/>
          <w:szCs w:val="56"/>
        </w:rPr>
        <w:t xml:space="preserve">BuiltSmart AI</w:t>
      </w:r>
    </w:p>
    <w:p>
      <w:pPr>
        <w:spacing w:after="40" w:before="80"/>
      </w:pPr>
      <w:r>
        <w:rPr>
          <w:rFonts w:ascii="Cambria" w:cs="Cambria" w:eastAsia="Cambria" w:hAnsi="Cambria"/>
          <w:b/>
          <w:bCs/>
          <w:color w:val="B08D4F"/>
          <w:sz w:val="32"/>
          <w:szCs w:val="32"/>
        </w:rPr>
        <w:t xml:space="preserve">Gesprächsleitfaden für Kundengespräche</w:t>
      </w:r>
    </w:p>
    <w:p>
      <w:pPr>
        <w:spacing w:after="400" w:before="0"/>
      </w:pPr>
      <w:r>
        <w:rPr>
          <w:rFonts w:ascii="Calibri" w:cs="Calibri" w:eastAsia="Calibri" w:hAnsi="Calibri"/>
          <w:i/>
          <w:iCs/>
          <w:color w:val="5A5A5A"/>
          <w:sz w:val="24"/>
          <w:szCs w:val="24"/>
        </w:rPr>
        <w:t xml:space="preserve">Klassischer Gesprächsablauf und Zielgruppen-Varianten</w:t>
      </w:r>
    </w:p>
    <w:p>
      <w:pPr>
        <w:spacing w:after="40"/>
      </w:pPr>
      <w:r>
        <w:rPr>
          <w:rFonts w:ascii="Calibri" w:cs="Calibri" w:eastAsia="Calibri" w:hAnsi="Calibri"/>
          <w:color w:val="222222"/>
          <w:sz w:val="20"/>
          <w:szCs w:val="20"/>
        </w:rPr>
        <w:t xml:space="preserve">Bernhard Metzger, BuiltSmart AI, powered by BuiltSmart Hub</w:t>
      </w:r>
    </w:p>
    <w:p>
      <w:pPr>
        <w:spacing w:after="400"/>
      </w:pPr>
      <w:r>
        <w:rPr>
          <w:rFonts w:ascii="Calibri" w:cs="Calibri" w:eastAsia="Calibri" w:hAnsi="Calibri"/>
          <w:color w:val="1B2A41"/>
          <w:sz w:val="20"/>
          <w:szCs w:val="20"/>
        </w:rPr>
        <w:t xml:space="preserve">www.builtsmart-ai.app</w:t>
      </w:r>
    </w:p>
    <w:p>
      <w:pPr>
        <w:pStyle w:val="Heading2"/>
        <w:spacing w:after="120" w:before="260"/>
      </w:pPr>
      <w:r>
        <w:rPr>
          <w:rFonts w:ascii="Cambria" w:cs="Cambria" w:eastAsia="Cambria" w:hAnsi="Cambria"/>
          <w:b/>
          <w:bCs/>
          <w:color w:val="1B2A41"/>
          <w:sz w:val="24"/>
          <w:szCs w:val="24"/>
        </w:rPr>
        <w:t xml:space="preserve">Wie dieser Leitfaden aufgebaut ist</w:t>
      </w:r>
    </w:p>
    <w:p>
      <w:pPr>
        <w:spacing w:after="140" w:line="276"/>
      </w:pPr>
      <w:r>
        <w:rPr>
          <w:rFonts w:ascii="Calibri" w:cs="Calibri" w:eastAsia="Calibri" w:hAnsi="Calibri"/>
          <w:color w:val="222222"/>
          <w:sz w:val="20"/>
          <w:szCs w:val="20"/>
        </w:rPr>
        <w:t xml:space="preserve">Dieser Leitfaden ergänzt die App-Referenz um den eigentlichen Gesprächsablauf. Er besteht aus zwei Teilen: Im ersten Teil wird der klassische Ablauf eines Kundengesprächs Schritt für Schritt beschrieben, von der Begrüßung bis zum Abschluss, inklusive konkreter Formulierungsvorschläge und einer Übersicht typischer Einwände mit passenden Reaktionen. Im zweiten Teil wird der gleiche Ablauf für zwölf unterschiedliche Zielgruppen konkretisiert, mit jeweils eigenem Themenfokus, passenden Apps, einer Einstiegsfrage und einer Kernbotschaft.</w:t>
      </w:r>
    </w:p>
    <w:p>
      <w:pPr>
        <w:spacing w:after="140" w:line="276"/>
      </w:pPr>
      <w:r>
        <w:rPr>
          <w:rFonts w:ascii="Calibri" w:cs="Calibri" w:eastAsia="Calibri" w:hAnsi="Calibri"/>
          <w:color w:val="222222"/>
          <w:sz w:val="20"/>
          <w:szCs w:val="20"/>
        </w:rPr>
        <w:t xml:space="preserve">Empfehlung für die Praxis: Den klassischen Ablauf einmal verinnerlichen, dann für das jeweilige Gespräch die passende Zielgruppen-Variante als Spickzettel danebenlegen und die dort genannte Einstiegsfrage sowie Kernbotschaft direkt in Phase zwei und drei des Ablaufs einsetzen.</w:t>
      </w:r>
    </w:p>
    <w:p>
      <w:pPr>
        <w:sectPr>
          <w:pgSz w:w="12240" w:h="15840" w:orient="portrait"/>
          <w:pgMar w:top="1080" w:right="1080" w:bottom="1080" w:left="1080" w:header="708" w:footer="708" w:gutter="0"/>
          <w:pgNumType/>
          <w:docGrid w:linePitch="360"/>
        </w:sectPr>
      </w:pPr>
    </w:p>
    <w:p>
      <w:pPr>
        <w:pStyle w:val="Heading1"/>
        <w:pBdr>
          <w:bottom w:val="single" w:color="B08D4F" w:sz="6" w:space="6"/>
        </w:pBdr>
        <w:spacing w:after="160" w:before="320"/>
      </w:pPr>
      <w:r>
        <w:rPr>
          <w:rFonts w:ascii="Cambria" w:cs="Cambria" w:eastAsia="Cambria" w:hAnsi="Cambria"/>
          <w:b/>
          <w:bCs/>
          <w:color w:val="1B2A41"/>
          <w:sz w:val="30"/>
          <w:szCs w:val="30"/>
        </w:rPr>
        <w:t xml:space="preserve">Teil A: Klassischer Gesprächsablauf</w:t>
      </w:r>
    </w:p>
    <w:p>
      <w:pPr>
        <w:spacing w:after="140" w:line="276"/>
      </w:pPr>
      <w:r>
        <w:rPr>
          <w:rFonts w:ascii="Calibri" w:cs="Calibri" w:eastAsia="Calibri" w:hAnsi="Calibri"/>
          <w:color w:val="222222"/>
          <w:sz w:val="20"/>
          <w:szCs w:val="20"/>
        </w:rPr>
        <w:t xml:space="preserve">Der Ablauf gliedert sich in fünf Phasen. Jede Phase hat ein klares Ziel, eine empfohlene Dauer und konkrete Formulierungsvorschläge, die sich direkt im Gespräch verwenden lassen.</w:t>
      </w:r>
    </w:p>
    <w:p>
      <w:pPr>
        <w:pStyle w:val="Heading2"/>
        <w:spacing w:after="120" w:before="260"/>
      </w:pPr>
      <w:r>
        <w:rPr>
          <w:rFonts w:ascii="Cambria" w:cs="Cambria" w:eastAsia="Cambria" w:hAnsi="Cambria"/>
          <w:b/>
          <w:bCs/>
          <w:color w:val="1B2A41"/>
          <w:sz w:val="24"/>
          <w:szCs w:val="24"/>
        </w:rPr>
        <w:t xml:space="preserve">Phase 1: Vorbereitung und Einstieg</w:t>
      </w:r>
    </w:p>
    <w:p>
      <w:pPr>
        <w:spacing w:after="140" w:line="276"/>
      </w:pPr>
      <w:r>
        <w:rPr>
          <w:rFonts w:ascii="Calibri" w:cs="Calibri" w:eastAsia="Calibri" w:hAnsi="Calibri"/>
          <w:color w:val="222222"/>
          <w:sz w:val="20"/>
          <w:szCs w:val="20"/>
        </w:rPr>
        <w:t xml:space="preserve">Ziel dieser Phase ist es, eine offene Gesprächsatmosphäre herzustellen und das Ziel des Gesprächs gemeinsam zu klären, bevor inhaltlich in die Tiefe gegangen wird. Empfohlene Dauer: etwa fünf Minuten.</w:t>
      </w:r>
    </w:p>
    <w:p>
      <w:pPr>
        <w:pStyle w:val="ListParagraph"/>
        <w:numPr>
          <w:ilvl w:val="0"/>
          <w:numId w:val="1"/>
        </w:numPr>
        <w:spacing w:after="80"/>
      </w:pPr>
      <w:r>
        <w:rPr>
          <w:rFonts w:ascii="Calibri" w:cs="Calibri" w:eastAsia="Calibri" w:hAnsi="Calibri"/>
          <w:color w:val="222222"/>
          <w:sz w:val="20"/>
          <w:szCs w:val="20"/>
        </w:rPr>
        <w:t xml:space="preserve">Kurz und persönlich begrüßen, auf bereits bekannte Informationen zum Unternehmen oder Projekt Bezug nehmen, um Interesse und Vorbereitung zu zeigen.</w:t>
      </w:r>
    </w:p>
    <w:p>
      <w:pPr>
        <w:pStyle w:val="ListParagraph"/>
        <w:numPr>
          <w:ilvl w:val="0"/>
          <w:numId w:val="1"/>
        </w:numPr>
        <w:spacing w:after="80"/>
      </w:pPr>
      <w:r>
        <w:rPr>
          <w:rFonts w:ascii="Calibri" w:cs="Calibri" w:eastAsia="Calibri" w:hAnsi="Calibri"/>
          <w:color w:val="222222"/>
          <w:sz w:val="20"/>
          <w:szCs w:val="20"/>
        </w:rPr>
        <w:t xml:space="preserve">Das Ziel des Gesprächs offen benennen, damit der Kunde weiß, worauf das Gespräch hinausläuft, und selbst mitsteuern kann.</w:t>
      </w:r>
    </w:p>
    <w:p>
      <w:pPr>
        <w:spacing w:after="80"/>
        <w:ind w:left="260"/>
      </w:pPr>
      <w:r>
        <w:rPr>
          <w:rFonts w:ascii="Calibri" w:cs="Calibri" w:eastAsia="Calibri" w:hAnsi="Calibri"/>
          <w:i/>
          <w:iCs/>
          <w:color w:val="1B2A41"/>
          <w:sz w:val="20"/>
          <w:szCs w:val="20"/>
        </w:rPr>
        <w:t xml:space="preserve">„Schön, dass wir uns die Zeit nehmen. Ich würde gerne kurz verstehen, wo bei Ihnen aktuell die größten Zeitfresser oder Risiken im Tagesgeschäft liegen, und Ihnen dann zeigen, wo unsere Anwendungen konkret ansetzen könnten.“</w:t>
      </w:r>
    </w:p>
    <w:p>
      <w:pPr>
        <w:pStyle w:val="Heading2"/>
        <w:spacing w:after="120" w:before="260"/>
      </w:pPr>
      <w:r>
        <w:rPr>
          <w:rFonts w:ascii="Cambria" w:cs="Cambria" w:eastAsia="Cambria" w:hAnsi="Cambria"/>
          <w:b/>
          <w:bCs/>
          <w:color w:val="1B2A41"/>
          <w:sz w:val="24"/>
          <w:szCs w:val="24"/>
        </w:rPr>
        <w:t xml:space="preserve">Phase 2: Bedarfsanalyse</w:t>
      </w:r>
    </w:p>
    <w:p>
      <w:pPr>
        <w:spacing w:after="140" w:line="276"/>
      </w:pPr>
      <w:r>
        <w:rPr>
          <w:rFonts w:ascii="Calibri" w:cs="Calibri" w:eastAsia="Calibri" w:hAnsi="Calibri"/>
          <w:color w:val="222222"/>
          <w:sz w:val="20"/>
          <w:szCs w:val="20"/>
        </w:rPr>
        <w:t xml:space="preserve">Ziel dieser Phase ist es, den tatsächlichen Schmerzpunkt des Kunden zu verstehen, bevor überhaupt eine App gezeigt wird. Wer hier zu schnell in die Produktvorstellung springt, verliert die Möglichkeit, das Gespräch passgenau zuzuschneiden. Empfohlene Dauer: zehn bis fünfzehn Minuten, mit deutlich mehr Zuhören als Reden.</w:t>
      </w:r>
    </w:p>
    <w:p>
      <w:pPr>
        <w:pStyle w:val="ListParagraph"/>
        <w:numPr>
          <w:ilvl w:val="0"/>
          <w:numId w:val="1"/>
        </w:numPr>
        <w:spacing w:after="80"/>
      </w:pPr>
      <w:r>
        <w:rPr>
          <w:rFonts w:ascii="Calibri" w:cs="Calibri" w:eastAsia="Calibri" w:hAnsi="Calibri"/>
          <w:color w:val="222222"/>
          <w:sz w:val="20"/>
          <w:szCs w:val="20"/>
        </w:rPr>
        <w:t xml:space="preserve">Offene Fragen stellen, die den Kunden zum Erzählen bringen, statt geschlossene Fragen, die nur mit ja oder nein beantwortet werden können.</w:t>
      </w:r>
    </w:p>
    <w:p>
      <w:pPr>
        <w:pStyle w:val="ListParagraph"/>
        <w:numPr>
          <w:ilvl w:val="0"/>
          <w:numId w:val="1"/>
        </w:numPr>
        <w:spacing w:after="80"/>
      </w:pPr>
      <w:r>
        <w:rPr>
          <w:rFonts w:ascii="Calibri" w:cs="Calibri" w:eastAsia="Calibri" w:hAnsi="Calibri"/>
          <w:color w:val="222222"/>
          <w:sz w:val="20"/>
          <w:szCs w:val="20"/>
        </w:rPr>
        <w:t xml:space="preserve">Konkret nach Zeitaufwand, Fehleranfälligkeit und Risiko fragen, weil sich daraus später die Wirtschaftlichkeit ableiten lässt.</w:t>
      </w:r>
    </w:p>
    <w:p>
      <w:pPr>
        <w:pStyle w:val="ListParagraph"/>
        <w:numPr>
          <w:ilvl w:val="0"/>
          <w:numId w:val="1"/>
        </w:numPr>
        <w:spacing w:after="80"/>
      </w:pPr>
      <w:r>
        <w:rPr>
          <w:rFonts w:ascii="Calibri" w:cs="Calibri" w:eastAsia="Calibri" w:hAnsi="Calibri"/>
          <w:color w:val="222222"/>
          <w:sz w:val="20"/>
          <w:szCs w:val="20"/>
        </w:rPr>
        <w:t xml:space="preserve">Aktiv zuhören und das Gehörte in eigenen Worten zusammenfassen, um Missverständnisse zu vermeiden und Vertrauen aufzubauen.</w:t>
      </w:r>
    </w:p>
    <w:p>
      <w:pPr>
        <w:spacing w:after="80"/>
        <w:ind w:left="260"/>
      </w:pPr>
      <w:r>
        <w:rPr>
          <w:rFonts w:ascii="Calibri" w:cs="Calibri" w:eastAsia="Calibri" w:hAnsi="Calibri"/>
          <w:i/>
          <w:iCs/>
          <w:color w:val="1B2A41"/>
          <w:sz w:val="20"/>
          <w:szCs w:val="20"/>
        </w:rPr>
        <w:t xml:space="preserve">„Welcher wiederkehrende Arbeitsschritt kostet bei Ihnen aktuell am meisten Zeit, oder birgt das größte Risiko, wenn er nicht sorgfältig genug ausgeführt wird?“</w:t>
      </w:r>
    </w:p>
    <w:p>
      <w:pPr>
        <w:spacing w:after="80"/>
        <w:ind w:left="260"/>
      </w:pPr>
      <w:r>
        <w:rPr>
          <w:rFonts w:ascii="Calibri" w:cs="Calibri" w:eastAsia="Calibri" w:hAnsi="Calibri"/>
          <w:i/>
          <w:iCs/>
          <w:color w:val="1B2A41"/>
          <w:sz w:val="20"/>
          <w:szCs w:val="20"/>
        </w:rPr>
        <w:t xml:space="preserve">„Wie läuft dieser Schritt heute genau ab, und wer im Team ist damit beschäftigt?“</w:t>
      </w:r>
    </w:p>
    <w:p>
      <w:pPr>
        <w:spacing w:after="80"/>
        <w:ind w:left="260"/>
      </w:pPr>
      <w:r>
        <w:rPr>
          <w:rFonts w:ascii="Calibri" w:cs="Calibri" w:eastAsia="Calibri" w:hAnsi="Calibri"/>
          <w:i/>
          <w:iCs/>
          <w:color w:val="1B2A41"/>
          <w:sz w:val="20"/>
          <w:szCs w:val="20"/>
        </w:rPr>
        <w:t xml:space="preserve">„Wenn Sie diese Zeit nicht mehr für diese Aufgabe aufwenden müssten, wofür würden Sie sie stattdessen nutzen?“</w:t>
      </w:r>
    </w:p>
    <w:p>
      <w:pPr>
        <w:pStyle w:val="Heading2"/>
        <w:spacing w:after="120" w:before="260"/>
      </w:pPr>
      <w:r>
        <w:rPr>
          <w:rFonts w:ascii="Cambria" w:cs="Cambria" w:eastAsia="Cambria" w:hAnsi="Cambria"/>
          <w:b/>
          <w:bCs/>
          <w:color w:val="1B2A41"/>
          <w:sz w:val="24"/>
          <w:szCs w:val="24"/>
        </w:rPr>
        <w:t xml:space="preserve">Phase 3: Passende Lösung vorstellen</w:t>
      </w:r>
    </w:p>
    <w:p>
      <w:pPr>
        <w:spacing w:after="140" w:line="276"/>
      </w:pPr>
      <w:r>
        <w:rPr>
          <w:rFonts w:ascii="Calibri" w:cs="Calibri" w:eastAsia="Calibri" w:hAnsi="Calibri"/>
          <w:color w:val="222222"/>
          <w:sz w:val="20"/>
          <w:szCs w:val="20"/>
        </w:rPr>
        <w:t xml:space="preserve">Ziel dieser Phase ist es, nicht das gesamte Portfolio zu zeigen, sondern gezielt ein bis drei Apps, die exakt an dem in Phase zwei genannten Schmerzpunkt ansetzen. Empfohlene Dauer: zehn bis fünfzehn Minuten.</w:t>
      </w:r>
    </w:p>
    <w:p>
      <w:pPr>
        <w:pStyle w:val="ListParagraph"/>
        <w:numPr>
          <w:ilvl w:val="0"/>
          <w:numId w:val="1"/>
        </w:numPr>
        <w:spacing w:after="80"/>
      </w:pPr>
      <w:r>
        <w:rPr>
          <w:rFonts w:ascii="Calibri" w:cs="Calibri" w:eastAsia="Calibri" w:hAnsi="Calibri"/>
          <w:color w:val="222222"/>
          <w:sz w:val="20"/>
          <w:szCs w:val="20"/>
        </w:rPr>
        <w:t xml:space="preserve">Mit dem konkreten Schmerzpunkt des Kunden beginnen, nicht mit einer allgemeinen Vorstellung des Unternehmens oder der App.</w:t>
      </w:r>
    </w:p>
    <w:p>
      <w:pPr>
        <w:pStyle w:val="ListParagraph"/>
        <w:numPr>
          <w:ilvl w:val="0"/>
          <w:numId w:val="1"/>
        </w:numPr>
        <w:spacing w:after="80"/>
      </w:pPr>
      <w:r>
        <w:rPr>
          <w:rFonts w:ascii="Calibri" w:cs="Calibri" w:eastAsia="Calibri" w:hAnsi="Calibri"/>
          <w:color w:val="222222"/>
          <w:sz w:val="20"/>
          <w:szCs w:val="20"/>
        </w:rPr>
        <w:t xml:space="preserve">Erst erklären, was automatisiert wird, dann erklären, wie KI dabei konkret zum Einsatz kommt, damit der Nutzen greifbar wird, bevor die Technik erklärt wird.</w:t>
      </w:r>
    </w:p>
    <w:p>
      <w:pPr>
        <w:pStyle w:val="ListParagraph"/>
        <w:numPr>
          <w:ilvl w:val="0"/>
          <w:numId w:val="1"/>
        </w:numPr>
        <w:spacing w:after="80"/>
      </w:pPr>
      <w:r>
        <w:rPr>
          <w:rFonts w:ascii="Calibri" w:cs="Calibri" w:eastAsia="Calibri" w:hAnsi="Calibri"/>
          <w:color w:val="222222"/>
          <w:sz w:val="20"/>
          <w:szCs w:val="20"/>
        </w:rPr>
        <w:t xml:space="preserve">Wenn möglich, die Landingpage oder ein Beispiel direkt zeigen, damit der Kunde sich die Anwendung im eigenen Alltag vorstellen kann.</w:t>
      </w:r>
    </w:p>
    <w:p>
      <w:pPr>
        <w:spacing w:after="80"/>
        <w:ind w:left="260"/>
      </w:pPr>
      <w:r>
        <w:rPr>
          <w:rFonts w:ascii="Calibri" w:cs="Calibri" w:eastAsia="Calibri" w:hAnsi="Calibri"/>
          <w:i/>
          <w:iCs/>
          <w:color w:val="1B2A41"/>
          <w:sz w:val="20"/>
          <w:szCs w:val="20"/>
        </w:rPr>
        <w:t xml:space="preserve">„Genau für diesen Fall haben wir SMART BauDocs entwickelt. Die Anwendung liest Lieferscheine und Rechnungen automatisch aus und gleicht sie mit Ihren Bestellungen ab, sodass dieser Schritt bei Ihnen künftig in einem Bruchteil der Zeit erledigt ist.“</w:t>
      </w:r>
    </w:p>
    <w:p>
      <w:pPr>
        <w:pStyle w:val="Heading2"/>
        <w:spacing w:after="120" w:before="260"/>
      </w:pPr>
      <w:r>
        <w:rPr>
          <w:rFonts w:ascii="Cambria" w:cs="Cambria" w:eastAsia="Cambria" w:hAnsi="Cambria"/>
          <w:b/>
          <w:bCs/>
          <w:color w:val="1B2A41"/>
          <w:sz w:val="24"/>
          <w:szCs w:val="24"/>
        </w:rPr>
        <w:t xml:space="preserve">Phase 4: Einwandbehandlung</w:t>
      </w:r>
    </w:p>
    <w:p>
      <w:pPr>
        <w:spacing w:after="140" w:line="276"/>
      </w:pPr>
      <w:r>
        <w:rPr>
          <w:rFonts w:ascii="Calibri" w:cs="Calibri" w:eastAsia="Calibri" w:hAnsi="Calibri"/>
          <w:color w:val="222222"/>
          <w:sz w:val="20"/>
          <w:szCs w:val="20"/>
        </w:rPr>
        <w:t xml:space="preserve">Ziel dieser Phase ist es, Bedenken ernst zu nehmen, statt sie zu überreden oder zu übergehen. Einwände sind meist ein gutes Zeichen: Der Kunde denkt bereits konkret über den Einsatz nach. Empfohlene Dauer: variabel, je nach Gesprächsverlauf.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Einwand des Kunden</w:t>
            </w:r>
          </w:p>
        </w:tc>
        <w:tc>
          <w:tcPr>
            <w:tcW w:type="dxa" w:w="60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Empfohlene Reaktion</w:t>
            </w:r>
          </w:p>
        </w:tc>
      </w:tr>
      <w:tr>
        <w:tc>
          <w:tcPr>
            <w:tcW w:type="dxa" w:w="36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Das ist zu teuer für uns</w:t>
            </w:r>
          </w:p>
        </w:tc>
        <w:tc>
          <w:tcPr>
            <w:tcW w:type="dxa" w:w="60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Gemeinsam mit dem ROI-Rechner die tatsächlichen Zahlen des Kunden durchrechnen. Schon kleine, alltägliche Zeitersparnisse summieren sich wirtschaftlich schnell, wie das Bundle-Beispiel mit einem Netto-Nutzen von rund 8.741 Euro pro Jahr bei einem Bundlepreis von 259 Euro zeigt.</w:t>
            </w:r>
          </w:p>
        </w:tc>
      </w:tr>
      <w:tr>
        <w:tc>
          <w:tcPr>
            <w:tcW w:type="dxa" w:w="36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Wir haben keine Zeit für die Einführung</w:t>
            </w:r>
          </w:p>
        </w:tc>
        <w:tc>
          <w:tcPr>
            <w:tcW w:type="dxa" w:w="60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Auf den schlanken Einstieg über einen Prototyp oder MVP verweisen. Es muss nicht sofort die vollständige Lösung eingeführt werden, ein erster funktionsfähiger Stand zeigt früh, wie die Lösung im Alltag wirkt, bevor größere Investitionen erfolgen.</w:t>
            </w:r>
          </w:p>
        </w:tc>
      </w:tr>
      <w:tr>
        <w:tc>
          <w:tcPr>
            <w:tcW w:type="dxa" w:w="36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Unsere Daten sind zu sensibel für KI</w:t>
            </w:r>
          </w:p>
        </w:tc>
        <w:tc>
          <w:tcPr>
            <w:tcW w:type="dxa" w:w="60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Auf die Sicherheitsbausteine verweisen: EU-Betrieb über Amazon Bedrock in der AWS-Region Frankfurt möglich, lokale Datenhaltung für bestimmte Anwendungen möglich, kein Training mit Kundendaten ohne ausdrückliche Freigabe, kontrollierte Zugriffe und nachvollziehbare Verarbeitung.</w:t>
            </w:r>
          </w:p>
        </w:tc>
      </w:tr>
      <w:tr>
        <w:tc>
          <w:tcPr>
            <w:tcW w:type="dxa" w:w="36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Wir haben schon eine andere Software im Einsatz</w:t>
            </w:r>
          </w:p>
        </w:tc>
        <w:tc>
          <w:tcPr>
            <w:tcW w:type="dxa" w:w="60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Klarstellen, dass die Anwendungen als Ergänzung gedacht sind, nicht als vollständiger Ersatz. Funktionen, Workflows und Schnittstellen können projektbezogen an bestehende Systeme angepasst werden.</w:t>
            </w:r>
          </w:p>
        </w:tc>
      </w:tr>
      <w:tr>
        <w:tc>
          <w:tcPr>
            <w:tcW w:type="dxa" w:w="36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Kann KI das wirklich zuverlässig genug für unseren Bereich?</w:t>
            </w:r>
          </w:p>
        </w:tc>
        <w:tc>
          <w:tcPr>
            <w:tcW w:type="dxa" w:w="60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Betonen, dass KI in den meisten Anwendungen als Assistenzfunktion arbeitet, die eine strukturierte Vorbewertung liefert. Die fachliche Entscheidung bleibt immer beim Menschen, KI übernimmt die zeitaufwendige Vorarbeit, nicht die Verantwortung.</w:t>
            </w:r>
          </w:p>
        </w:tc>
      </w:tr>
      <w:tr>
        <w:tc>
          <w:tcPr>
            <w:tcW w:type="dxa" w:w="36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Wir sind ein kleines Unternehmen, das lohnt sich für uns nicht</w:t>
            </w:r>
          </w:p>
        </w:tc>
        <w:tc>
          <w:tcPr>
            <w:tcW w:type="dxa" w:w="60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Gerade kleinere Teams profitieren besonders stark, weil dort einzelne Personen oft mehrere Rollen gleichzeitig ausfüllen. Zeitersparnis pro Person wirkt sich hier unmittelbar auf die verfügbare Kapazität des ganzen Unternehmens aus.</w:t>
            </w:r>
          </w:p>
        </w:tc>
      </w:tr>
    </w:tbl>
    <w:p>
      <w:pPr>
        <w:pStyle w:val="Heading2"/>
        <w:spacing w:after="120" w:before="260"/>
      </w:pPr>
      <w:r>
        <w:rPr>
          <w:rFonts w:ascii="Cambria" w:cs="Cambria" w:eastAsia="Cambria" w:hAnsi="Cambria"/>
          <w:b/>
          <w:bCs/>
          <w:color w:val="1B2A41"/>
          <w:sz w:val="24"/>
          <w:szCs w:val="24"/>
        </w:rPr>
        <w:t xml:space="preserve">Phase 5: Abschluss und nächste Schritte</w:t>
      </w:r>
    </w:p>
    <w:p>
      <w:pPr>
        <w:spacing w:after="140" w:line="276"/>
      </w:pPr>
      <w:r>
        <w:rPr>
          <w:rFonts w:ascii="Calibri" w:cs="Calibri" w:eastAsia="Calibri" w:hAnsi="Calibri"/>
          <w:color w:val="222222"/>
          <w:sz w:val="20"/>
          <w:szCs w:val="20"/>
        </w:rPr>
        <w:t xml:space="preserve">Ziel dieser Phase ist es, das Gespräch nicht unverbindlich enden zu lassen, sondern einen konkreten, niedrigschwelligen nächsten Schritt zu vereinbaren. Empfohlene Dauer: fünf Minuten.</w:t>
      </w:r>
    </w:p>
    <w:p>
      <w:pPr>
        <w:pStyle w:val="ListParagraph"/>
        <w:numPr>
          <w:ilvl w:val="0"/>
          <w:numId w:val="1"/>
        </w:numPr>
        <w:spacing w:after="80"/>
      </w:pPr>
      <w:r>
        <w:rPr>
          <w:rFonts w:ascii="Calibri" w:cs="Calibri" w:eastAsia="Calibri" w:hAnsi="Calibri"/>
          <w:color w:val="222222"/>
          <w:sz w:val="20"/>
          <w:szCs w:val="20"/>
        </w:rPr>
        <w:t xml:space="preserve">Das Gehörte kurz zusammenfassen und bestätigen lassen, dass der Kunde sich richtig verstanden fühlt.</w:t>
      </w:r>
    </w:p>
    <w:p>
      <w:pPr>
        <w:pStyle w:val="ListParagraph"/>
        <w:numPr>
          <w:ilvl w:val="0"/>
          <w:numId w:val="1"/>
        </w:numPr>
        <w:spacing w:after="80"/>
      </w:pPr>
      <w:r>
        <w:rPr>
          <w:rFonts w:ascii="Calibri" w:cs="Calibri" w:eastAsia="Calibri" w:hAnsi="Calibri"/>
          <w:color w:val="222222"/>
          <w:sz w:val="20"/>
          <w:szCs w:val="20"/>
        </w:rPr>
        <w:t xml:space="preserve">Einen konkreten nächsten Schritt anbieten, zum Beispiel einen Demo-Termin über SMART Booking, einen unverbindlichen Prototyp oder ein schriftliches Angebot.</w:t>
      </w:r>
    </w:p>
    <w:p>
      <w:pPr>
        <w:pStyle w:val="ListParagraph"/>
        <w:numPr>
          <w:ilvl w:val="0"/>
          <w:numId w:val="1"/>
        </w:numPr>
        <w:spacing w:after="80"/>
      </w:pPr>
      <w:r>
        <w:rPr>
          <w:rFonts w:ascii="Calibri" w:cs="Calibri" w:eastAsia="Calibri" w:hAnsi="Calibri"/>
          <w:color w:val="222222"/>
          <w:sz w:val="20"/>
          <w:szCs w:val="20"/>
        </w:rPr>
        <w:t xml:space="preserve">Eine klare Zeitperspektive nennen, damit der nächste Schritt nicht im Alltag untergeht.</w:t>
      </w:r>
    </w:p>
    <w:p>
      <w:pPr>
        <w:spacing w:after="80"/>
        <w:ind w:left="260"/>
      </w:pPr>
      <w:r>
        <w:rPr>
          <w:rFonts w:ascii="Calibri" w:cs="Calibri" w:eastAsia="Calibri" w:hAnsi="Calibri"/>
          <w:i/>
          <w:iCs/>
          <w:color w:val="1B2A41"/>
          <w:sz w:val="20"/>
          <w:szCs w:val="20"/>
        </w:rPr>
        <w:t xml:space="preserve">„Ich schlage vor, wir vereinbaren einen kurzen Demo-Termin, in dem ich Ihnen die besprochenen Apps direkt an einem Beispiel aus Ihrem Alltag zeige. Passt Ihnen dafür eher diese oder nächste Woche?“</w:t>
      </w:r>
    </w:p>
    <w:p>
      <w:pPr>
        <w:sectPr>
          <w:pgSz w:w="12240" w:h="15840" w:orient="portrait"/>
          <w:pgMar w:top="1080" w:right="1080" w:bottom="1080" w:left="1080" w:header="708" w:footer="708" w:gutter="0"/>
          <w:pgNumType/>
          <w:docGrid w:linePitch="360"/>
        </w:sectPr>
      </w:pPr>
    </w:p>
    <w:p>
      <w:pPr>
        <w:pStyle w:val="Heading1"/>
        <w:pBdr>
          <w:bottom w:val="single" w:color="B08D4F" w:sz="6" w:space="6"/>
        </w:pBdr>
        <w:spacing w:after="160" w:before="320"/>
      </w:pPr>
      <w:r>
        <w:rPr>
          <w:rFonts w:ascii="Cambria" w:cs="Cambria" w:eastAsia="Cambria" w:hAnsi="Cambria"/>
          <w:b/>
          <w:bCs/>
          <w:color w:val="1B2A41"/>
          <w:sz w:val="30"/>
          <w:szCs w:val="30"/>
        </w:rPr>
        <w:t xml:space="preserve">Teil B: Zielgruppen-Varianten</w:t>
      </w:r>
    </w:p>
    <w:p>
      <w:pPr>
        <w:spacing w:after="140" w:line="276"/>
      </w:pPr>
      <w:r>
        <w:rPr>
          <w:rFonts w:ascii="Calibri" w:cs="Calibri" w:eastAsia="Calibri" w:hAnsi="Calibri"/>
          <w:color w:val="222222"/>
          <w:sz w:val="20"/>
          <w:szCs w:val="20"/>
        </w:rPr>
        <w:t xml:space="preserve">Für jede der zwölf Zielgruppen von builtsmart-ai.app wird hier der gleiche Fünf-Phasen-Ablauf konkretisiert: welcher Themenfokus typischerweise im Vordergrund steht, welche Apps besonders passen, mit welcher Einstiegsfrage sich Phase zwei eröffnen lässt, und welche Kernbotschaft sich für Phase drei eignet. Einwandbehandlung und Abschluss aus Teil A gelten unverändert für alle Zielgruppen.</w:t>
      </w:r>
    </w:p>
    <w:p>
      <w:pPr>
        <w:pStyle w:val="Heading2"/>
        <w:spacing w:after="120" w:before="260"/>
      </w:pPr>
      <w:r>
        <w:rPr>
          <w:rFonts w:ascii="Cambria" w:cs="Cambria" w:eastAsia="Cambria" w:hAnsi="Cambria"/>
          <w:b/>
          <w:bCs/>
          <w:color w:val="1B2A41"/>
          <w:sz w:val="24"/>
          <w:szCs w:val="24"/>
        </w:rPr>
        <w:t xml:space="preserve">1. Projektentwickler und Initiatoren</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In der frühen Projektphase stehen Machbarkeit, Kosteneinschätzung, Risikobewertung und die überzeugende Aufbereitung für Investoren und Banken im Vordergrund. Zeitdruck und Unsicherheit sind hier besonders hoch, weil viele Entscheidungen auf noch unvollständiger Datenlage getroffen werden müssen.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COST PERT-Prognose, SMART RISK Monte-Carlo-Simulation, SMART CapEx, SMART RISK Risiko-Register, SMART DeckBuilder Pro</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sicher sind Sie sich heute bei der Kosten- und Risikoeinschätzung in der frühen Projektphase, bevor die ersten verbindlichen Zahlen feststehen?“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Belastbare Kosten- und Risikoszenarien liegen schon früh vor, und die Ergebnisse lassen sich direkt in eine überzeugende Präsentation für Investoren und Banken überführen.</w:t>
      </w:r>
    </w:p>
    <w:p>
      <w:pPr>
        <w:pStyle w:val="Heading2"/>
        <w:spacing w:after="120" w:before="260"/>
      </w:pPr>
      <w:r>
        <w:rPr>
          <w:rFonts w:ascii="Cambria" w:cs="Cambria" w:eastAsia="Cambria" w:hAnsi="Cambria"/>
          <w:b/>
          <w:bCs/>
          <w:color w:val="1B2A41"/>
          <w:sz w:val="24"/>
          <w:szCs w:val="24"/>
        </w:rPr>
        <w:t xml:space="preserve">2. Investoren und Kapitalgeber</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Investoren vergleichen mehrere Projekte oder Beteiligungen gleichzeitig und brauchen dafür vergleichbare, nachvollziehbare Kennzahlen statt einzelner, unterschiedlich aufbereiteter Exceltabellen von verschiedenen Projektpartnern.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CapEx, SMART RISK Monte-Carlo-Simulation, SMART RISK Risiko-Register, SMART SummaryAssistent</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vergleichbar sind die Investitionsszenarien, die Sie aktuell von verschiedenen Projektpartnern vorgelegt bekommen?“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Wirtschaftlichkeits- und Risikoszenarien werden strukturiert und einheitlich aufbereitet, sodass unterschiedliche Projekte tatsächlich vergleichbar werden, statt Äpfel mit Birnen zu vergleichen.</w:t>
      </w:r>
    </w:p>
    <w:p>
      <w:pPr>
        <w:pStyle w:val="Heading2"/>
        <w:spacing w:after="120" w:before="260"/>
      </w:pPr>
      <w:r>
        <w:rPr>
          <w:rFonts w:ascii="Cambria" w:cs="Cambria" w:eastAsia="Cambria" w:hAnsi="Cambria"/>
          <w:b/>
          <w:bCs/>
          <w:color w:val="1B2A41"/>
          <w:sz w:val="24"/>
          <w:szCs w:val="24"/>
        </w:rPr>
        <w:t xml:space="preserve">3. Banken und Finanzierung</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Bei der Kreditvergabe und laufenden Begleitung von Bauprojekten ist die Prüfung von Verträgen, Sicherheiten und Projektunterlagen oft der zeitaufwendigste Schritt im Prozess, und Fehler in dieser Prüfung sind wirtschaftlich besonders teuer.</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RISK Vertragsanalyse, SMART RISK Risiko-Register, SMART Validate, SMART DokumentIntelligence</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viel Zeit investieren Ihre Teams aktuell in die Prüfung von Verträgen, Sicherheiten und Projektunterlagen vor einer Finanzierungsentscheidung?“</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Kritische Klauseln, Risiken und Auffälligkeiten in Verträgen und Unterlagen werden automatisiert sichtbar gemacht, wodurch sich Prüfzyklen verkürzen und die Nachvollziehbarkeit für interne Revisionen steigt.</w:t>
      </w:r>
    </w:p>
    <w:p>
      <w:pPr>
        <w:pStyle w:val="Heading2"/>
        <w:spacing w:after="120" w:before="260"/>
      </w:pPr>
      <w:r>
        <w:rPr>
          <w:rFonts w:ascii="Cambria" w:cs="Cambria" w:eastAsia="Cambria" w:hAnsi="Cambria"/>
          <w:b/>
          <w:bCs/>
          <w:color w:val="1B2A41"/>
          <w:sz w:val="24"/>
          <w:szCs w:val="24"/>
        </w:rPr>
        <w:t xml:space="preserve">4. Versicherungen und Risikopartner</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Für Versicherungen zählt vor allem, wie systematisch Risiken bei einem Bauprojekt erfasst, bewertet und über die Projektlaufzeit nachverfolgt werden, weil davon die Schadenprävention und die spätere Schadenregulierung abhängen.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RISK Risiko-Register, SMART REVISION, SMART RISK Monte-Carlo-Simulation</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systematisch werden Risiken bei den von Ihnen versicherten Projekten heute erfasst, bewertet und über die Projektlaufzeit nachverfolgt?“</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Risiken werden strukturiert erfasst, priorisiert und mit Verantwortlichkeiten, Maßnahmen und Fristen versehen, was die Grundlage für eine fundierte Risikoeinschätzung deutlich verbessert.</w:t>
      </w:r>
    </w:p>
    <w:p>
      <w:pPr>
        <w:pStyle w:val="Heading2"/>
        <w:spacing w:after="120" w:before="260"/>
      </w:pPr>
      <w:r>
        <w:rPr>
          <w:rFonts w:ascii="Cambria" w:cs="Cambria" w:eastAsia="Cambria" w:hAnsi="Cambria"/>
          <w:b/>
          <w:bCs/>
          <w:color w:val="1B2A41"/>
          <w:sz w:val="24"/>
          <w:szCs w:val="24"/>
        </w:rPr>
        <w:t xml:space="preserve">5. Bestandshalter und Eigentümer</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Im laufenden Betrieb von Bestandsimmobilien geht es vor allem um Instandhaltung, Dokumentenverwaltung und die Kommunikation mit Mietern, Dienstleistern und Behörden, oft über viele Jahre und mehrere zuständige Personen hinweg.</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BauAkte, SMART DokumentIntelligence, SMART ReplySuite, SMART MeetingNavigator</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zentral und auffindbar sind Ihre Bestandsunterlagen heute organisiert, wenn Sie kurzfristig eine bestimmte Information benötigen?“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Bauakten, Verträge und Korrespondenz laufen zentral zusammen und bleiben auch bei einem Wechsel der zuständigen Person vollständig auffindbar und nachvollziehbar.</w:t>
      </w:r>
    </w:p>
    <w:p>
      <w:pPr>
        <w:pStyle w:val="Heading2"/>
        <w:spacing w:after="120" w:before="260"/>
      </w:pPr>
      <w:r>
        <w:rPr>
          <w:rFonts w:ascii="Cambria" w:cs="Cambria" w:eastAsia="Cambria" w:hAnsi="Cambria"/>
          <w:b/>
          <w:bCs/>
          <w:color w:val="1B2A41"/>
          <w:sz w:val="24"/>
          <w:szCs w:val="24"/>
        </w:rPr>
        <w:t xml:space="preserve">6. Planer und Fachplanung</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Planungsbüros stehen unter dem Anspruch, Qualität nachweisbar zu sichern und Feststellungen gegenüber dem Bauherrn sauber zu dokumentieren, während gleichzeitig Angebote und Leistungsverzeichnisse zügig erstellt werden müssen.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REVISION, SMART Validate, SMART OfferFlow, SMART SnippetFlow</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dokumentieren Sie aktuell Feststellungen aus der Qualitätssicherung und deren Nachverfolgung gegenüber dem Bauherrn?“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Feststellungen, Prüfvermerke und Freigaben werden strukturiert und revisionsfähig dokumentiert, was im Streitfall und bei der Zusammenarbeit mit Bauherren und Investoren erheblich Sicherheit gibt.</w:t>
      </w:r>
    </w:p>
    <w:p>
      <w:pPr>
        <w:pStyle w:val="Heading2"/>
        <w:spacing w:after="120" w:before="260"/>
      </w:pPr>
      <w:r>
        <w:rPr>
          <w:rFonts w:ascii="Cambria" w:cs="Cambria" w:eastAsia="Cambria" w:hAnsi="Cambria"/>
          <w:b/>
          <w:bCs/>
          <w:color w:val="1B2A41"/>
          <w:sz w:val="24"/>
          <w:szCs w:val="24"/>
        </w:rPr>
        <w:t xml:space="preserve">7. Behörden und Genehmigung</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Genehmigungsstellen erhalten häufig sehr umfangreiche Unterlagen, deren Sichtung und Vorprüfung viel Zeit bindet, bevor die eigentliche fachliche Bewertung überhaupt beginnen kann.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DokumentIntelligence, SMART DIS-AI, SMART SummaryAssistent</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viel Zeit kostet die Sichtung und Vorprüfung eingereichter Unterlagen bei Ihnen aktuell im Durchschnitt?“</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Umfangreiche Unterlagen werden automatisch strukturiert und verdichtet, sodass die eigentliche fachliche Prüfung schneller beginnen kann und weniger Zeit für reines Sichten verloren geht.</w:t>
      </w:r>
    </w:p>
    <w:p>
      <w:pPr>
        <w:pStyle w:val="Heading2"/>
        <w:spacing w:after="120" w:before="260"/>
      </w:pPr>
      <w:r>
        <w:rPr>
          <w:rFonts w:ascii="Cambria" w:cs="Cambria" w:eastAsia="Cambria" w:hAnsi="Cambria"/>
          <w:b/>
          <w:bCs/>
          <w:color w:val="1B2A41"/>
          <w:sz w:val="24"/>
          <w:szCs w:val="24"/>
        </w:rPr>
        <w:t xml:space="preserve">8. Bauunternehmen und Umsetzung</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Auf der ausführenden Seite kosten der Abgleich von Lieferscheinen, Bestellungen und Rechnungen sowie die Erstellung von Angeboten besonders viel operative Zeit, oft direkt auf der Baustelle unter Zeitdruck.</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BauDocs, SMART BauAkte, SMART OfferFlow, SMART Validate</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läuft bei Ihnen heute der Abgleich von Lieferscheinen, Bestellungen und Rechnungen, und wie viel davon passiert noch auf Papier?“</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Lieferscheine und Rechnungen werden automatisch ausgelesen und abgeglichen, der gesamte Prüf- und Freigabeprozess läuft papierlos und lückenlos dokumentiert.</w:t>
      </w:r>
    </w:p>
    <w:p>
      <w:pPr>
        <w:pStyle w:val="Heading2"/>
        <w:spacing w:after="120" w:before="260"/>
      </w:pPr>
      <w:r>
        <w:rPr>
          <w:rFonts w:ascii="Cambria" w:cs="Cambria" w:eastAsia="Cambria" w:hAnsi="Cambria"/>
          <w:b/>
          <w:bCs/>
          <w:color w:val="1B2A41"/>
          <w:sz w:val="24"/>
          <w:szCs w:val="24"/>
        </w:rPr>
        <w:t xml:space="preserve">9. Projektsteuerer und Koordination</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Wer mehrere Gewerke, Termine und Projektbeteiligte gleichzeitig koordiniert, braucht vor allem eine verlässliche Gesamtübersicht über offene Punkte, Risiken und Entscheidungen, statt Informationen aus vielen Einzelquellen zusammensuchen zu müssen.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RISK Risiko-Register, SMART MeetingNavigator, SMART BauAkte, SMART COST PERT-Prognose</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behalten Sie aktuell über mehrere Projekte hinweg den Überblick über offene Punkte, Risiken und anstehende Entscheidungen?“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Risiken, Aufgaben und Termine aus verschiedenen Projekten und Meetings laufen zentral zusammen und werden automatisiert nachgehalten, statt in Einzeldokumenten verloren zu gehen.</w:t>
      </w:r>
    </w:p>
    <w:p>
      <w:pPr>
        <w:pStyle w:val="Heading2"/>
        <w:spacing w:after="120" w:before="260"/>
      </w:pPr>
      <w:r>
        <w:rPr>
          <w:rFonts w:ascii="Cambria" w:cs="Cambria" w:eastAsia="Cambria" w:hAnsi="Cambria"/>
          <w:b/>
          <w:bCs/>
          <w:color w:val="1B2A41"/>
          <w:sz w:val="24"/>
          <w:szCs w:val="24"/>
        </w:rPr>
        <w:t xml:space="preserve">10. Berater und externe Partner</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Externe Berater müssen sich bei jedem neuen Mandat schnell in umfangreiche, oft unstrukturierte Kundenunterlagen einarbeiten und die Ergebnisse anschließend überzeugend für Geschäftsführung oder Gremien aufbereiten.</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SummaryAssistent, SMART DeckBuilder Pro, SMART DokumentIntelligence, SMART SnippetFlow</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viel Zeit verbringen Sie bei einem neuen Mandat mit dem Sichten und Verdichten der übergebenen Unterlagen, bevor die eigentliche Beratung beginnen kann?“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Umfangreiche Unterlagen werden schnell verdichtet und die Ergebnisse lassen sich direkt in eine hochwertige, überzeugende Präsentation für die nächste Gremiensitzung überführen.</w:t>
      </w:r>
    </w:p>
    <w:p>
      <w:pPr>
        <w:pStyle w:val="Heading2"/>
        <w:spacing w:after="120" w:before="260"/>
      </w:pPr>
      <w:r>
        <w:rPr>
          <w:rFonts w:ascii="Cambria" w:cs="Cambria" w:eastAsia="Cambria" w:hAnsi="Cambria"/>
          <w:b/>
          <w:bCs/>
          <w:color w:val="1B2A41"/>
          <w:sz w:val="24"/>
          <w:szCs w:val="24"/>
        </w:rPr>
        <w:t xml:space="preserve">11. Führungskräfte und Entscheider</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Entscheider erhalten aus vielen Richtungen Informationen und müssen daraus zügig belastbare Entscheidungen ableiten, während gleichzeitig die eigene Zeit für Meetings, Abstimmungen und operative Themen knapp ist.</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CapEx, SMART RISK Risiko-Register, SMART Focus, SMART MeetingNavigator</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„Wie belastbar sind die Entscheidungsgrundlagen, die aktuell auf Ihrem Tisch landen, und wie viel davon mussten Sie zuletzt selbst nachrecherchieren?“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Entscheidungsgrundlagen werden strukturiert, quantifiziert und verständlich aufbereitet, was schnellere und zugleich fundiertere Entscheidungen im Alltag ermöglicht.</w:t>
      </w:r>
    </w:p>
    <w:p>
      <w:pPr>
        <w:pStyle w:val="Heading2"/>
        <w:spacing w:after="120" w:before="260"/>
      </w:pPr>
      <w:r>
        <w:rPr>
          <w:rFonts w:ascii="Cambria" w:cs="Cambria" w:eastAsia="Cambria" w:hAnsi="Cambria"/>
          <w:b/>
          <w:bCs/>
          <w:color w:val="1B2A41"/>
          <w:sz w:val="24"/>
          <w:szCs w:val="24"/>
        </w:rPr>
        <w:t xml:space="preserve">12. Privatpersonen und Einzelpersonen</w:t>
      </w:r>
    </w:p>
    <w:p>
      <w:pPr>
        <w:spacing w:after="60" w:before="180"/>
      </w:pPr>
      <w:r>
        <w:rPr>
          <w:rFonts w:ascii="Calibri" w:cs="Calibri" w:eastAsia="Calibri" w:hAnsi="Calibri"/>
          <w:b/>
          <w:bCs/>
          <w:color w:val="B08D4F"/>
          <w:sz w:val="21"/>
          <w:szCs w:val="21"/>
        </w:rPr>
        <w:t xml:space="preserve">Themenfokus</w:t>
      </w:r>
    </w:p>
    <w:p>
      <w:pPr>
        <w:spacing w:after="140" w:line="276"/>
      </w:pPr>
      <w:r>
        <w:rPr>
          <w:rFonts w:ascii="Calibri" w:cs="Calibri" w:eastAsia="Calibri" w:hAnsi="Calibri"/>
          <w:color w:val="222222"/>
          <w:sz w:val="20"/>
          <w:szCs w:val="20"/>
        </w:rPr>
        <w:t xml:space="preserve">Auch außerhalb von Unternehmen kosten das Formulieren von Korrespondenz, die berufliche Weiterentwicklung und die eigene Tagesorganisation spürbar Zeit, ohne dass dafür ein technisches Vorwissen vorausgesetzt werden sollte.</w:t>
      </w:r>
    </w:p>
    <w:p>
      <w:pPr>
        <w:spacing w:after="60" w:before="180"/>
      </w:pPr>
      <w:r>
        <w:rPr>
          <w:rFonts w:ascii="Calibri" w:cs="Calibri" w:eastAsia="Calibri" w:hAnsi="Calibri"/>
          <w:b/>
          <w:bCs/>
          <w:color w:val="B08D4F"/>
          <w:sz w:val="21"/>
          <w:szCs w:val="21"/>
        </w:rPr>
        <w:t xml:space="preserve">Passende Apps</w:t>
      </w:r>
    </w:p>
    <w:p>
      <w:pPr>
        <w:spacing w:after="140" w:line="276"/>
      </w:pPr>
      <w:r>
        <w:rPr>
          <w:rFonts w:ascii="Calibri" w:cs="Calibri" w:eastAsia="Calibri" w:hAnsi="Calibri"/>
          <w:color w:val="222222"/>
          <w:sz w:val="20"/>
          <w:szCs w:val="20"/>
        </w:rPr>
        <w:t xml:space="preserve">SMART ReplySuite, SMART CareerNavigator, SMART Focus, SMART SummaryAssistent</w:t>
      </w:r>
    </w:p>
    <w:p>
      <w:pPr>
        <w:spacing w:after="60" w:before="180"/>
      </w:pPr>
      <w:r>
        <w:rPr>
          <w:rFonts w:ascii="Calibri" w:cs="Calibri" w:eastAsia="Calibri" w:hAnsi="Calibri"/>
          <w:b/>
          <w:bCs/>
          <w:color w:val="B08D4F"/>
          <w:sz w:val="21"/>
          <w:szCs w:val="21"/>
        </w:rPr>
        <w:t xml:space="preserve">Einstiegsfrage für Phase 2</w:t>
      </w:r>
    </w:p>
    <w:p>
      <w:pPr>
        <w:spacing w:after="80"/>
        <w:ind w:left="260"/>
      </w:pPr>
      <w:r>
        <w:rPr>
          <w:rFonts w:ascii="Calibri" w:cs="Calibri" w:eastAsia="Calibri" w:hAnsi="Calibri"/>
          <w:i/>
          <w:iCs/>
          <w:color w:val="1B2A41"/>
          <w:sz w:val="20"/>
          <w:szCs w:val="20"/>
        </w:rPr>
        <w:t xml:space="preserve">„Wo im Alltag kostet Sie das Formulieren, Zusammenfassen oder Organisieren aktuell am meisten Zeit oder Nerven?“</w:t>
      </w:r>
    </w:p>
    <w:p>
      <w:pPr>
        <w:spacing w:after="60" w:before="180"/>
      </w:pPr>
      <w:r>
        <w:rPr>
          <w:rFonts w:ascii="Calibri" w:cs="Calibri" w:eastAsia="Calibri" w:hAnsi="Calibri"/>
          <w:b/>
          <w:bCs/>
          <w:color w:val="B08D4F"/>
          <w:sz w:val="21"/>
          <w:szCs w:val="21"/>
        </w:rPr>
        <w:t xml:space="preserve">Kernbotschaft für Phase 3</w:t>
      </w:r>
    </w:p>
    <w:p>
      <w:pPr>
        <w:spacing w:after="140" w:line="276"/>
      </w:pPr>
      <w:r>
        <w:rPr>
          <w:rFonts w:ascii="Calibri" w:cs="Calibri" w:eastAsia="Calibri" w:hAnsi="Calibri"/>
          <w:color w:val="222222"/>
          <w:sz w:val="20"/>
          <w:szCs w:val="20"/>
        </w:rPr>
        <w:t xml:space="preserve">Alltägliche Aufgaben wie Korrespondenz, Bewerbungsvorbereitung und Tagesplanung werden spürbar erleichtert, ganz ohne technisches Vorwissen und ohne komplizierte Einrichtung.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2026-07-01T11:46:02.697Z</dcterms:created>
  <dcterms:modified xsi:type="dcterms:W3CDTF">2026-07-01T11:46:02.698Z</dcterms:modified>
</cp:coreProperties>
</file>

<file path=docProps/custom.xml><?xml version="1.0" encoding="utf-8"?>
<Properties xmlns="http://schemas.openxmlformats.org/officeDocument/2006/custom-properties" xmlns:vt="http://schemas.openxmlformats.org/officeDocument/2006/docPropsVTypes"/>
</file>