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Table of Contents</w:t>
      </w:r>
    </w:p>
    <w:p>
      <w:pPr>
        <w:pStyle w:val="Normal"/>
        <w:bidi w:val="0"/>
        <w:jc w:val="start"/>
        <w:rPr/>
      </w:pPr>
      <w:r>
        <w:rPr/>
      </w:r>
    </w:p>
    <w:p>
      <w:pPr>
        <w:pStyle w:val="Normal"/>
        <w:bidi w:val="0"/>
        <w:jc w:val="start"/>
        <w:rPr/>
      </w:pPr>
      <w:r>
        <w:rPr/>
        <w:t>This handbook serves as a comprehensive instructional manual on using yeast as a model system for studying G protein-coupled receptors (GPCRs). It draws exclusively from established research in the field, focusing on concepts, procedures, troubleshooting, and practical applications. The structure is organized into 29 sections, each building on the previous to provide a logical progression from foundational knowledge to advanced techniques and future outlook. Sections include theoretical overviews, step-by-step protocols, case studies, and supporting resources. Approximate word counts are provided for each section to guide readers on depth. Use this table to navigate the handbook efficiently.</w:t>
      </w:r>
    </w:p>
    <w:p>
      <w:pPr>
        <w:pStyle w:val="Normal"/>
        <w:bidi w:val="0"/>
        <w:jc w:val="start"/>
        <w:rPr/>
      </w:pPr>
      <w:r>
        <w:rPr/>
      </w:r>
    </w:p>
    <w:p>
      <w:pPr>
        <w:pStyle w:val="Normal"/>
        <w:bidi w:val="0"/>
        <w:jc w:val="start"/>
        <w:rPr/>
      </w:pPr>
      <w:r>
        <w:rPr/>
        <w:t xml:space="preserve">**Section 1: Table of Contents (~500 words)**  </w:t>
      </w:r>
    </w:p>
    <w:p>
      <w:pPr>
        <w:pStyle w:val="Normal"/>
        <w:bidi w:val="0"/>
        <w:jc w:val="start"/>
        <w:rPr/>
      </w:pPr>
      <w:r>
        <w:rPr/>
        <w:t>This introductory section outlines the entire handbook structure, including section titles, brief descriptions, and estimated lengths to facilitate quick reference and navigation.</w:t>
      </w:r>
    </w:p>
    <w:p>
      <w:pPr>
        <w:pStyle w:val="Normal"/>
        <w:bidi w:val="0"/>
        <w:jc w:val="start"/>
        <w:rPr/>
      </w:pPr>
      <w:r>
        <w:rPr/>
      </w:r>
    </w:p>
    <w:p>
      <w:pPr>
        <w:pStyle w:val="Normal"/>
        <w:bidi w:val="0"/>
        <w:jc w:val="start"/>
        <w:rPr/>
      </w:pPr>
      <w:r>
        <w:rPr/>
        <w:t xml:space="preserve">**Section 2: Introduction to Yeast as a Model System for GPCR Studies (~700 words)**  </w:t>
      </w:r>
    </w:p>
    <w:p>
      <w:pPr>
        <w:pStyle w:val="Normal"/>
        <w:bidi w:val="0"/>
        <w:jc w:val="start"/>
        <w:rPr/>
      </w:pPr>
      <w:r>
        <w:rPr/>
        <w:t>Provides an overview of why yeast is an effective heterologous expression system for GPCRs, highlighting its simplicity, genetic tractability, and advantages over mammalian cells for functional assays.</w:t>
      </w:r>
    </w:p>
    <w:p>
      <w:pPr>
        <w:pStyle w:val="Normal"/>
        <w:bidi w:val="0"/>
        <w:jc w:val="start"/>
        <w:rPr/>
      </w:pPr>
      <w:r>
        <w:rPr/>
      </w:r>
    </w:p>
    <w:p>
      <w:pPr>
        <w:pStyle w:val="Normal"/>
        <w:bidi w:val="0"/>
        <w:jc w:val="start"/>
        <w:rPr/>
      </w:pPr>
      <w:r>
        <w:rPr/>
        <w:t xml:space="preserve">**Section 3: Overview of G Protein-Coupled Receptors (GPCRs) in Heterologous Expression (~600 words)**  </w:t>
      </w:r>
    </w:p>
    <w:p>
      <w:pPr>
        <w:pStyle w:val="Normal"/>
        <w:bidi w:val="0"/>
        <w:jc w:val="start"/>
        <w:rPr/>
      </w:pPr>
      <w:r>
        <w:rPr/>
        <w:t>Explains the basic structure and function of GPCRs, with emphasis on their expression in non-native hosts like yeast, including key challenges and benefits.</w:t>
      </w:r>
    </w:p>
    <w:p>
      <w:pPr>
        <w:pStyle w:val="Normal"/>
        <w:bidi w:val="0"/>
        <w:jc w:val="start"/>
        <w:rPr/>
      </w:pPr>
      <w:r>
        <w:rPr/>
      </w:r>
    </w:p>
    <w:p>
      <w:pPr>
        <w:pStyle w:val="Normal"/>
        <w:bidi w:val="0"/>
        <w:jc w:val="start"/>
        <w:rPr/>
      </w:pPr>
      <w:r>
        <w:rPr/>
        <w:t xml:space="preserve">**Section 4: Historical Development and Key References in Yeast GPCR Research (~800 words)**  </w:t>
      </w:r>
    </w:p>
    <w:p>
      <w:pPr>
        <w:pStyle w:val="Normal"/>
        <w:bidi w:val="0"/>
        <w:jc w:val="start"/>
        <w:rPr/>
      </w:pPr>
      <w:r>
        <w:rPr/>
        <w:t>Traces the evolution of yeast-based GPCR studies, citing foundational papers and milestones from researchers such as King, Kang, and others.</w:t>
      </w:r>
    </w:p>
    <w:p>
      <w:pPr>
        <w:pStyle w:val="Normal"/>
        <w:bidi w:val="0"/>
        <w:jc w:val="start"/>
        <w:rPr/>
      </w:pPr>
      <w:r>
        <w:rPr/>
      </w:r>
    </w:p>
    <w:p>
      <w:pPr>
        <w:pStyle w:val="Normal"/>
        <w:bidi w:val="0"/>
        <w:jc w:val="start"/>
        <w:rPr/>
      </w:pPr>
      <w:r>
        <w:rPr/>
        <w:t xml:space="preserve">**Section 5: The Yeast Pheromone-Response Pathway and Its Adaptation for GPCRs (~700 words)**  </w:t>
      </w:r>
    </w:p>
    <w:p>
      <w:pPr>
        <w:pStyle w:val="Normal"/>
        <w:bidi w:val="0"/>
        <w:jc w:val="start"/>
        <w:rPr/>
      </w:pPr>
      <w:r>
        <w:rPr/>
        <w:t>Describes the native yeast mating pathway involving G proteins and MAP kinase cascades, and how it is engineered to couple with heterologous GPCRs.</w:t>
      </w:r>
    </w:p>
    <w:p>
      <w:pPr>
        <w:pStyle w:val="Normal"/>
        <w:bidi w:val="0"/>
        <w:jc w:val="start"/>
        <w:rPr/>
      </w:pPr>
      <w:r>
        <w:rPr/>
      </w:r>
    </w:p>
    <w:p>
      <w:pPr>
        <w:pStyle w:val="Normal"/>
        <w:bidi w:val="0"/>
        <w:jc w:val="start"/>
        <w:rPr/>
      </w:pPr>
      <w:r>
        <w:rPr/>
        <w:t xml:space="preserve">**Section 6: Engineering G Protein Chimeras: Kang-Type and Cadus-Type (~650 words)**  </w:t>
      </w:r>
    </w:p>
    <w:p>
      <w:pPr>
        <w:pStyle w:val="Normal"/>
        <w:bidi w:val="0"/>
        <w:jc w:val="start"/>
        <w:rPr/>
      </w:pPr>
      <w:r>
        <w:rPr/>
        <w:t>Details the construction and differences between Kang-type and Cadus-type G alpha chimeras, used to facilitate coupling between mammalian GPCRs and yeast signaling.</w:t>
      </w:r>
    </w:p>
    <w:p>
      <w:pPr>
        <w:pStyle w:val="Normal"/>
        <w:bidi w:val="0"/>
        <w:jc w:val="start"/>
        <w:rPr/>
      </w:pPr>
      <w:r>
        <w:rPr/>
      </w:r>
    </w:p>
    <w:p>
      <w:pPr>
        <w:pStyle w:val="Normal"/>
        <w:bidi w:val="0"/>
        <w:jc w:val="start"/>
        <w:rPr/>
      </w:pPr>
      <w:r>
        <w:rPr/>
        <w:t xml:space="preserve">**Section 7: Transplant Chimeras and Specificity Determinants in G Alpha Subunits (~750 words)**  </w:t>
      </w:r>
    </w:p>
    <w:p>
      <w:pPr>
        <w:pStyle w:val="Normal"/>
        <w:bidi w:val="0"/>
        <w:jc w:val="start"/>
        <w:rPr/>
      </w:pPr>
      <w:r>
        <w:rPr/>
        <w:t>Explores transplant chimeras, focusing on carboxy-terminal regions and amino acid residues (e.g., Asp229) that determine receptor-G protein specificity.</w:t>
      </w:r>
    </w:p>
    <w:p>
      <w:pPr>
        <w:pStyle w:val="Normal"/>
        <w:bidi w:val="0"/>
        <w:jc w:val="start"/>
        <w:rPr/>
      </w:pPr>
      <w:r>
        <w:rPr/>
      </w:r>
    </w:p>
    <w:p>
      <w:pPr>
        <w:pStyle w:val="Normal"/>
        <w:bidi w:val="0"/>
        <w:jc w:val="start"/>
        <w:rPr/>
      </w:pPr>
      <w:r>
        <w:rPr/>
        <w:t xml:space="preserve">**Section 8: Role of G Beta-Gamma Subunits in Yeast Coupling Mechanisms (~600 words)**  </w:t>
      </w:r>
    </w:p>
    <w:p>
      <w:pPr>
        <w:pStyle w:val="Normal"/>
        <w:bidi w:val="0"/>
        <w:jc w:val="start"/>
        <w:rPr/>
      </w:pPr>
      <w:r>
        <w:rPr/>
        <w:t>Examines how G beta-gamma subunits interact in yeast, their role in signal transduction, and adaptations for heterologous systems.</w:t>
      </w:r>
    </w:p>
    <w:p>
      <w:pPr>
        <w:pStyle w:val="Normal"/>
        <w:bidi w:val="0"/>
        <w:jc w:val="start"/>
        <w:rPr/>
      </w:pPr>
      <w:r>
        <w:rPr/>
      </w:r>
    </w:p>
    <w:p>
      <w:pPr>
        <w:pStyle w:val="Normal"/>
        <w:bidi w:val="0"/>
        <w:jc w:val="start"/>
        <w:rPr/>
      </w:pPr>
      <w:r>
        <w:rPr/>
        <w:t xml:space="preserve">**Section 9: Table of Heterologous GPCRs Coupled to Yeast Pathways (~800 words)**  </w:t>
      </w:r>
    </w:p>
    <w:p>
      <w:pPr>
        <w:pStyle w:val="Normal"/>
        <w:bidi w:val="0"/>
        <w:jc w:val="start"/>
        <w:rPr/>
      </w:pPr>
      <w:r>
        <w:rPr/>
        <w:t>Presents a compiled table of GPCRs from various species (e.g., human, fungal) successfully coupled in yeast, including promoters and optimal G proteins.</w:t>
      </w:r>
    </w:p>
    <w:p>
      <w:pPr>
        <w:pStyle w:val="Normal"/>
        <w:bidi w:val="0"/>
        <w:jc w:val="start"/>
        <w:rPr/>
      </w:pPr>
      <w:r>
        <w:rPr/>
      </w:r>
    </w:p>
    <w:p>
      <w:pPr>
        <w:pStyle w:val="Normal"/>
        <w:bidi w:val="0"/>
        <w:jc w:val="start"/>
        <w:rPr/>
      </w:pPr>
      <w:r>
        <w:rPr/>
        <w:t xml:space="preserve">**Section 10: Expression Systems and Promoters for GPCRs in Yeast (~550 words)**  </w:t>
      </w:r>
    </w:p>
    <w:p>
      <w:pPr>
        <w:pStyle w:val="Normal"/>
        <w:bidi w:val="0"/>
        <w:jc w:val="start"/>
        <w:rPr/>
      </w:pPr>
      <w:r>
        <w:rPr/>
        <w:t>Guides on selecting promoters (e.g., PGK1, ADH1) and expression vectors for optimal GPCR production in yeast strains.</w:t>
      </w:r>
    </w:p>
    <w:p>
      <w:pPr>
        <w:pStyle w:val="Normal"/>
        <w:bidi w:val="0"/>
        <w:jc w:val="start"/>
        <w:rPr/>
      </w:pPr>
      <w:r>
        <w:rPr/>
      </w:r>
    </w:p>
    <w:p>
      <w:pPr>
        <w:pStyle w:val="Normal"/>
        <w:bidi w:val="0"/>
        <w:jc w:val="start"/>
        <w:rPr/>
      </w:pPr>
      <w:r>
        <w:rPr/>
        <w:t xml:space="preserve">**Section 11: Species-Specific Coupling: Examples from Fungi and Mammals (~700 words)**  </w:t>
      </w:r>
    </w:p>
    <w:p>
      <w:pPr>
        <w:pStyle w:val="Normal"/>
        <w:bidi w:val="0"/>
        <w:jc w:val="start"/>
        <w:rPr/>
      </w:pPr>
      <w:r>
        <w:rPr/>
        <w:t>Discusses coupling variations across species, with examples like Coprinus cinereus receptors and mammalian neurotensin receptors.</w:t>
      </w:r>
    </w:p>
    <w:p>
      <w:pPr>
        <w:pStyle w:val="Normal"/>
        <w:bidi w:val="0"/>
        <w:jc w:val="start"/>
        <w:rPr/>
      </w:pPr>
      <w:r>
        <w:rPr/>
      </w:r>
    </w:p>
    <w:p>
      <w:pPr>
        <w:pStyle w:val="Normal"/>
        <w:bidi w:val="0"/>
        <w:jc w:val="start"/>
        <w:rPr/>
      </w:pPr>
      <w:r>
        <w:rPr/>
        <w:t xml:space="preserve">**Section 12: Challenges in GPCR Pharmacology: Lipid Composition Effects (~650 words)**  </w:t>
      </w:r>
    </w:p>
    <w:p>
      <w:pPr>
        <w:pStyle w:val="Normal"/>
        <w:bidi w:val="0"/>
        <w:jc w:val="start"/>
        <w:rPr/>
      </w:pPr>
      <w:r>
        <w:rPr/>
        <w:t>Addresses how yeast membrane lipids influence GPCR pharmacology, including potential discrepancies with mammalian systems.</w:t>
      </w:r>
    </w:p>
    <w:p>
      <w:pPr>
        <w:pStyle w:val="Normal"/>
        <w:bidi w:val="0"/>
        <w:jc w:val="start"/>
        <w:rPr/>
      </w:pPr>
      <w:r>
        <w:rPr/>
      </w:r>
    </w:p>
    <w:p>
      <w:pPr>
        <w:pStyle w:val="Normal"/>
        <w:bidi w:val="0"/>
        <w:jc w:val="start"/>
        <w:rPr/>
      </w:pPr>
      <w:r>
        <w:rPr/>
        <w:t xml:space="preserve">**Section 13: Receptor-Interacting Proteins and Heterodimerization in Yeast (~750 words)**  </w:t>
      </w:r>
    </w:p>
    <w:p>
      <w:pPr>
        <w:pStyle w:val="Normal"/>
        <w:bidi w:val="0"/>
        <w:jc w:val="start"/>
        <w:rPr/>
      </w:pPr>
      <w:r>
        <w:rPr/>
        <w:t>Covers the role of accessory proteins and heterodimer formation in GPCR function, and their reconstitution in yeast.</w:t>
      </w:r>
    </w:p>
    <w:p>
      <w:pPr>
        <w:pStyle w:val="Normal"/>
        <w:bidi w:val="0"/>
        <w:jc w:val="start"/>
        <w:rPr/>
      </w:pPr>
      <w:r>
        <w:rPr/>
      </w:r>
    </w:p>
    <w:p>
      <w:pPr>
        <w:pStyle w:val="Normal"/>
        <w:bidi w:val="0"/>
        <w:jc w:val="start"/>
        <w:rPr/>
      </w:pPr>
      <w:r>
        <w:rPr/>
        <w:t xml:space="preserve">**Section 14: Reconstitution of Complex Receptors like CRLR with RAMPs (~800 words)**  </w:t>
      </w:r>
    </w:p>
    <w:p>
      <w:pPr>
        <w:pStyle w:val="Normal"/>
        <w:bidi w:val="0"/>
        <w:jc w:val="start"/>
        <w:rPr/>
      </w:pPr>
      <w:r>
        <w:rPr/>
        <w:t>Provides instructions on expressing multi-component receptors, such as CRLR with RAMPs, to form functional units in yeast.</w:t>
      </w:r>
    </w:p>
    <w:p>
      <w:pPr>
        <w:pStyle w:val="Normal"/>
        <w:bidi w:val="0"/>
        <w:jc w:val="start"/>
        <w:rPr/>
      </w:pPr>
      <w:r>
        <w:rPr/>
      </w:r>
    </w:p>
    <w:p>
      <w:pPr>
        <w:pStyle w:val="Normal"/>
        <w:bidi w:val="0"/>
        <w:jc w:val="start"/>
        <w:rPr/>
      </w:pPr>
      <w:r>
        <w:rPr/>
        <w:t xml:space="preserve">**Section 15: Procedures for Setting Up Yeast-Based GPCR Assays (~600 words)**  </w:t>
      </w:r>
    </w:p>
    <w:p>
      <w:pPr>
        <w:pStyle w:val="Normal"/>
        <w:bidi w:val="0"/>
        <w:jc w:val="start"/>
        <w:rPr/>
      </w:pPr>
      <w:r>
        <w:rPr/>
        <w:t>Outlines general steps for establishing functional assays, including strain preparation and basic readout methods.</w:t>
      </w:r>
    </w:p>
    <w:p>
      <w:pPr>
        <w:pStyle w:val="Normal"/>
        <w:bidi w:val="0"/>
        <w:jc w:val="start"/>
        <w:rPr/>
      </w:pPr>
      <w:r>
        <w:rPr/>
      </w:r>
    </w:p>
    <w:p>
      <w:pPr>
        <w:pStyle w:val="Normal"/>
        <w:bidi w:val="0"/>
        <w:jc w:val="start"/>
        <w:rPr/>
      </w:pPr>
      <w:r>
        <w:rPr/>
        <w:t xml:space="preserve">**Section 16: Step-by-Step Protocol for G Protein Chimera Construction (~700 words)**  </w:t>
      </w:r>
    </w:p>
    <w:p>
      <w:pPr>
        <w:pStyle w:val="Normal"/>
        <w:bidi w:val="0"/>
        <w:jc w:val="start"/>
        <w:rPr/>
      </w:pPr>
      <w:r>
        <w:rPr/>
        <w:t>Offers detailed, instructional steps for building G protein chimeras, including cloning and verification techniques.</w:t>
      </w:r>
    </w:p>
    <w:p>
      <w:pPr>
        <w:pStyle w:val="Normal"/>
        <w:bidi w:val="0"/>
        <w:jc w:val="start"/>
        <w:rPr/>
      </w:pPr>
      <w:r>
        <w:rPr/>
      </w:r>
    </w:p>
    <w:p>
      <w:pPr>
        <w:pStyle w:val="Normal"/>
        <w:bidi w:val="0"/>
        <w:jc w:val="start"/>
        <w:rPr/>
      </w:pPr>
      <w:r>
        <w:rPr/>
        <w:t xml:space="preserve">**Section 17: Methods for Receptor Expression and Coupling Verification (~650 words)**  </w:t>
      </w:r>
    </w:p>
    <w:p>
      <w:pPr>
        <w:pStyle w:val="Normal"/>
        <w:bidi w:val="0"/>
        <w:jc w:val="start"/>
        <w:rPr/>
      </w:pPr>
      <w:r>
        <w:rPr/>
        <w:t>Describes protocols for expressing GPCRs and confirming coupling efficiency using biochemical and genetic tests.</w:t>
      </w:r>
    </w:p>
    <w:p>
      <w:pPr>
        <w:pStyle w:val="Normal"/>
        <w:bidi w:val="0"/>
        <w:jc w:val="start"/>
        <w:rPr/>
      </w:pPr>
      <w:r>
        <w:rPr/>
      </w:r>
    </w:p>
    <w:p>
      <w:pPr>
        <w:pStyle w:val="Normal"/>
        <w:bidi w:val="0"/>
        <w:jc w:val="start"/>
        <w:rPr/>
      </w:pPr>
      <w:r>
        <w:rPr/>
        <w:t xml:space="preserve">**Section 18: Reporter Gene Assays: Beta-Galactosidase and Growth-Based Readouts (~750 words)**  </w:t>
      </w:r>
    </w:p>
    <w:p>
      <w:pPr>
        <w:pStyle w:val="Normal"/>
        <w:bidi w:val="0"/>
        <w:jc w:val="start"/>
        <w:rPr/>
      </w:pPr>
      <w:r>
        <w:rPr/>
        <w:t>Explains implementation of lacZ reporter assays and growth selection for detecting GPCR activation in yeast.</w:t>
      </w:r>
    </w:p>
    <w:p>
      <w:pPr>
        <w:pStyle w:val="Normal"/>
        <w:bidi w:val="0"/>
        <w:jc w:val="start"/>
        <w:rPr/>
      </w:pPr>
      <w:r>
        <w:rPr/>
      </w:r>
    </w:p>
    <w:p>
      <w:pPr>
        <w:pStyle w:val="Normal"/>
        <w:bidi w:val="0"/>
        <w:jc w:val="start"/>
        <w:rPr/>
      </w:pPr>
      <w:r>
        <w:rPr/>
        <w:t xml:space="preserve">**Section 19: High-Throughput Screening (HTS) in Yeast for Ligand Identification (~800 words)**  </w:t>
      </w:r>
    </w:p>
    <w:p>
      <w:pPr>
        <w:pStyle w:val="Normal"/>
        <w:bidi w:val="0"/>
        <w:jc w:val="start"/>
        <w:rPr/>
      </w:pPr>
      <w:r>
        <w:rPr/>
        <w:t>Guides on adapting yeast assays for HTS, including compound library screening for agonists.</w:t>
      </w:r>
    </w:p>
    <w:p>
      <w:pPr>
        <w:pStyle w:val="Normal"/>
        <w:bidi w:val="0"/>
        <w:jc w:val="start"/>
        <w:rPr/>
      </w:pPr>
      <w:r>
        <w:rPr/>
      </w:r>
    </w:p>
    <w:p>
      <w:pPr>
        <w:pStyle w:val="Normal"/>
        <w:bidi w:val="0"/>
        <w:jc w:val="start"/>
        <w:rPr/>
      </w:pPr>
      <w:r>
        <w:rPr/>
        <w:t xml:space="preserve">**Section 20: Liquid and Solid Phase Assay Formats (~600 words)**  </w:t>
      </w:r>
    </w:p>
    <w:p>
      <w:pPr>
        <w:pStyle w:val="Normal"/>
        <w:bidi w:val="0"/>
        <w:jc w:val="start"/>
        <w:rPr/>
      </w:pPr>
      <w:r>
        <w:rPr/>
        <w:t>Compares liquid media and agar-based formats for yeast GPCR assays, with practical setup tips.</w:t>
      </w:r>
    </w:p>
    <w:p>
      <w:pPr>
        <w:pStyle w:val="Normal"/>
        <w:bidi w:val="0"/>
        <w:jc w:val="start"/>
        <w:rPr/>
      </w:pPr>
      <w:r>
        <w:rPr/>
      </w:r>
    </w:p>
    <w:p>
      <w:pPr>
        <w:pStyle w:val="Normal"/>
        <w:bidi w:val="0"/>
        <w:jc w:val="start"/>
        <w:rPr/>
      </w:pPr>
      <w:r>
        <w:rPr/>
        <w:t xml:space="preserve">**Section 21: Miniaturization and Automation in Yeast GPCR Screens (~700 words)**  </w:t>
      </w:r>
    </w:p>
    <w:p>
      <w:pPr>
        <w:pStyle w:val="Normal"/>
        <w:bidi w:val="0"/>
        <w:jc w:val="start"/>
        <w:rPr/>
      </w:pPr>
      <w:r>
        <w:rPr/>
        <w:t>Discusses scaling down assays for high-density formats and integrating automation for efficiency.</w:t>
      </w:r>
    </w:p>
    <w:p>
      <w:pPr>
        <w:pStyle w:val="Normal"/>
        <w:bidi w:val="0"/>
        <w:jc w:val="start"/>
        <w:rPr/>
      </w:pPr>
      <w:r>
        <w:rPr/>
      </w:r>
    </w:p>
    <w:p>
      <w:pPr>
        <w:pStyle w:val="Normal"/>
        <w:bidi w:val="0"/>
        <w:jc w:val="start"/>
        <w:rPr/>
      </w:pPr>
      <w:r>
        <w:rPr/>
        <w:t xml:space="preserve">**Section 22: Troubleshooting Common Issues in Yeast Expression Systems (~650 words)**  </w:t>
      </w:r>
    </w:p>
    <w:p>
      <w:pPr>
        <w:pStyle w:val="Normal"/>
        <w:bidi w:val="0"/>
        <w:jc w:val="start"/>
        <w:rPr/>
      </w:pPr>
      <w:r>
        <w:rPr/>
        <w:t>Identifies frequent problems like low expression and provides diagnostic steps.</w:t>
      </w:r>
    </w:p>
    <w:p>
      <w:pPr>
        <w:pStyle w:val="Normal"/>
        <w:bidi w:val="0"/>
        <w:jc w:val="start"/>
        <w:rPr/>
      </w:pPr>
      <w:r>
        <w:rPr/>
      </w:r>
    </w:p>
    <w:p>
      <w:pPr>
        <w:pStyle w:val="Normal"/>
        <w:bidi w:val="0"/>
        <w:jc w:val="start"/>
        <w:rPr/>
      </w:pPr>
      <w:r>
        <w:rPr/>
        <w:t xml:space="preserve">**Section 23: Addressing Coupling Failures and Specificity Problems (~750 words)**  </w:t>
      </w:r>
    </w:p>
    <w:p>
      <w:pPr>
        <w:pStyle w:val="Normal"/>
        <w:bidi w:val="0"/>
        <w:jc w:val="start"/>
        <w:rPr/>
      </w:pPr>
      <w:r>
        <w:rPr/>
        <w:t>Offers solutions for non-coupling GPCRs, including G protein modifications and strain optimizations.</w:t>
      </w:r>
    </w:p>
    <w:p>
      <w:pPr>
        <w:pStyle w:val="Normal"/>
        <w:bidi w:val="0"/>
        <w:jc w:val="start"/>
        <w:rPr/>
      </w:pPr>
      <w:r>
        <w:rPr/>
      </w:r>
    </w:p>
    <w:p>
      <w:pPr>
        <w:pStyle w:val="Normal"/>
        <w:bidi w:val="0"/>
        <w:jc w:val="start"/>
        <w:rPr/>
      </w:pPr>
      <w:r>
        <w:rPr/>
        <w:t xml:space="preserve">**Section 24: Practical Guidance on Yeast Strain Selection and Maintenance (~800 words)**  </w:t>
      </w:r>
    </w:p>
    <w:p>
      <w:pPr>
        <w:pStyle w:val="Normal"/>
        <w:bidi w:val="0"/>
        <w:jc w:val="start"/>
        <w:rPr/>
      </w:pPr>
      <w:r>
        <w:rPr/>
        <w:t>Advises on choosing and culturing yeast strains for GPCR studies, with maintenance protocols.</w:t>
      </w:r>
    </w:p>
    <w:p>
      <w:pPr>
        <w:pStyle w:val="Normal"/>
        <w:bidi w:val="0"/>
        <w:jc w:val="start"/>
        <w:rPr/>
      </w:pPr>
      <w:r>
        <w:rPr/>
      </w:r>
    </w:p>
    <w:p>
      <w:pPr>
        <w:pStyle w:val="Normal"/>
        <w:bidi w:val="0"/>
        <w:jc w:val="start"/>
        <w:rPr/>
      </w:pPr>
      <w:r>
        <w:rPr/>
        <w:t xml:space="preserve">**Section 25: Case Studies: Successful Coupling of Specific GPCRs (~600 words)**  </w:t>
      </w:r>
    </w:p>
    <w:p>
      <w:pPr>
        <w:pStyle w:val="Normal"/>
        <w:bidi w:val="0"/>
        <w:jc w:val="start"/>
        <w:rPr/>
      </w:pPr>
      <w:r>
        <w:rPr/>
        <w:t>Presents real-world examples, such as CRLR/RAMP reconstitutions, with outcomes and lessons.</w:t>
      </w:r>
    </w:p>
    <w:p>
      <w:pPr>
        <w:pStyle w:val="Normal"/>
        <w:bidi w:val="0"/>
        <w:jc w:val="start"/>
        <w:rPr/>
      </w:pPr>
      <w:r>
        <w:rPr/>
      </w:r>
    </w:p>
    <w:p>
      <w:pPr>
        <w:pStyle w:val="Normal"/>
        <w:bidi w:val="0"/>
        <w:jc w:val="start"/>
        <w:rPr/>
      </w:pPr>
      <w:r>
        <w:rPr/>
        <w:t xml:space="preserve">**Section 26: Future Directions in Yeast GPCR Assay Development (~700 words)**  </w:t>
      </w:r>
    </w:p>
    <w:p>
      <w:pPr>
        <w:pStyle w:val="Normal"/>
        <w:bidi w:val="0"/>
        <w:jc w:val="start"/>
        <w:rPr/>
      </w:pPr>
      <w:r>
        <w:rPr/>
        <w:t>Explores emerging trends like miniaturization and complex receptor studies in yeast.</w:t>
      </w:r>
    </w:p>
    <w:p>
      <w:pPr>
        <w:pStyle w:val="Normal"/>
        <w:bidi w:val="0"/>
        <w:jc w:val="start"/>
        <w:rPr/>
      </w:pPr>
      <w:r>
        <w:rPr/>
      </w:r>
    </w:p>
    <w:p>
      <w:pPr>
        <w:pStyle w:val="Normal"/>
        <w:bidi w:val="0"/>
        <w:jc w:val="start"/>
        <w:rPr/>
      </w:pPr>
      <w:r>
        <w:rPr/>
        <w:t xml:space="preserve">**Section 27: Comprehensive Reference List and Bibliography (~650 words)**  </w:t>
      </w:r>
    </w:p>
    <w:p>
      <w:pPr>
        <w:pStyle w:val="Normal"/>
        <w:bidi w:val="0"/>
        <w:jc w:val="start"/>
        <w:rPr/>
      </w:pPr>
      <w:r>
        <w:rPr/>
        <w:t>Compiles all cited references from the field, organized alphabetically for easy lookup.</w:t>
      </w:r>
    </w:p>
    <w:p>
      <w:pPr>
        <w:pStyle w:val="Normal"/>
        <w:bidi w:val="0"/>
        <w:jc w:val="start"/>
        <w:rPr/>
      </w:pPr>
      <w:r>
        <w:rPr/>
      </w:r>
    </w:p>
    <w:p>
      <w:pPr>
        <w:pStyle w:val="Normal"/>
        <w:bidi w:val="0"/>
        <w:jc w:val="start"/>
        <w:rPr/>
      </w:pPr>
      <w:r>
        <w:rPr/>
        <w:t xml:space="preserve">**Section 28: Glossary of Key Terms in Yeast GPCR Research (~750 words)**  </w:t>
      </w:r>
    </w:p>
    <w:p>
      <w:pPr>
        <w:pStyle w:val="Normal"/>
        <w:bidi w:val="0"/>
        <w:jc w:val="start"/>
        <w:rPr/>
      </w:pPr>
      <w:r>
        <w:rPr/>
        <w:t>Defines essential terminology, from "G protein chimeras" to "pheromone-response pathway."</w:t>
      </w:r>
    </w:p>
    <w:p>
      <w:pPr>
        <w:pStyle w:val="Normal"/>
        <w:bidi w:val="0"/>
        <w:jc w:val="start"/>
        <w:rPr/>
      </w:pPr>
      <w:r>
        <w:rPr/>
      </w:r>
    </w:p>
    <w:p>
      <w:pPr>
        <w:pStyle w:val="Normal"/>
        <w:bidi w:val="0"/>
        <w:jc w:val="start"/>
        <w:rPr/>
      </w:pPr>
      <w:r>
        <w:rPr/>
        <w:t xml:space="preserve">**Section 29: Appendices: Diagrams of G Protein Structures and Chimeras (~800 words)**  </w:t>
      </w:r>
    </w:p>
    <w:p>
      <w:pPr>
        <w:pStyle w:val="Normal"/>
        <w:bidi w:val="0"/>
        <w:jc w:val="start"/>
        <w:rPr/>
      </w:pPr>
      <w:r>
        <w:rPr/>
        <w:t>Includes illustrative diagrams of G alpha structures, chimeras, and signaling pathways for visual reference.</w:t>
      </w:r>
    </w:p>
    <w:p>
      <w:pPr>
        <w:pStyle w:val="Normal"/>
        <w:bidi w:val="0"/>
        <w:jc w:val="start"/>
        <w:rPr/>
      </w:pPr>
      <w:r>
        <w:rPr/>
      </w:r>
    </w:p>
    <w:p>
      <w:pPr>
        <w:pStyle w:val="Normal"/>
        <w:bidi w:val="0"/>
        <w:jc w:val="start"/>
        <w:rPr/>
      </w:pPr>
      <w:r>
        <w:rPr/>
        <w:t>(Word count: 498)</w:t>
      </w:r>
    </w:p>
    <w:p>
      <w:pPr>
        <w:pStyle w:val="Normal"/>
        <w:bidi w:val="0"/>
        <w:jc w:val="start"/>
        <w:rPr/>
      </w:pPr>
      <w:r>
        <w:rPr/>
      </w:r>
    </w:p>
    <w:p>
      <w:pPr>
        <w:pStyle w:val="Normal"/>
        <w:bidi w:val="0"/>
        <w:jc w:val="start"/>
        <w:rPr/>
      </w:pPr>
      <w:r>
        <w:rPr/>
        <w:t># Section 2: Introduction to Yeast as a Model System for GPCR Studies</w:t>
      </w:r>
    </w:p>
    <w:p>
      <w:pPr>
        <w:pStyle w:val="Normal"/>
        <w:bidi w:val="0"/>
        <w:jc w:val="start"/>
        <w:rPr/>
      </w:pPr>
      <w:r>
        <w:rPr/>
      </w:r>
    </w:p>
    <w:p>
      <w:pPr>
        <w:pStyle w:val="Normal"/>
        <w:bidi w:val="0"/>
        <w:jc w:val="start"/>
        <w:rPr/>
      </w:pPr>
      <w:r>
        <w:rPr/>
        <w:t>## Why Choose Yeast for GPCR Research?</w:t>
      </w:r>
    </w:p>
    <w:p>
      <w:pPr>
        <w:pStyle w:val="Normal"/>
        <w:bidi w:val="0"/>
        <w:jc w:val="start"/>
        <w:rPr/>
      </w:pPr>
      <w:r>
        <w:rPr/>
      </w:r>
    </w:p>
    <w:p>
      <w:pPr>
        <w:pStyle w:val="Normal"/>
        <w:bidi w:val="0"/>
        <w:jc w:val="start"/>
        <w:rPr/>
      </w:pPr>
      <w:r>
        <w:rPr/>
        <w:t>Yeast, particularly *Saccharomyces cerevisiae*, serves as a powerful heterologous expression system for studying G protein-coupled receptors (GPCRs). This single-celled eukaryote offers a simplified cellular environment compared to mammalian cells, making it ideal for functional assays of GPCRs from diverse species, including humans and fungi. The primary advantage lies in yeast's genetic tractability: its genome is well-characterized, and tools for genetic manipulation are readily available, allowing researchers to engineer signaling pathways with precision. Unlike mammalian systems, which often involve complex endogenous signaling networks that can interfere with assays, yeast provides a "clean" background where heterologous GPCRs can be expressed and coupled to modified pathways without significant crosstalk.</w:t>
      </w:r>
    </w:p>
    <w:p>
      <w:pPr>
        <w:pStyle w:val="Normal"/>
        <w:bidi w:val="0"/>
        <w:jc w:val="start"/>
        <w:rPr/>
      </w:pPr>
      <w:r>
        <w:rPr/>
      </w:r>
    </w:p>
    <w:p>
      <w:pPr>
        <w:pStyle w:val="Normal"/>
        <w:bidi w:val="0"/>
        <w:jc w:val="start"/>
        <w:rPr/>
      </w:pPr>
      <w:r>
        <w:rPr/>
        <w:t>Historically, yeast has been adapted for GPCR studies by leveraging its native pheromone-response pathway, a G protein-mediated signaling cascade that responds to mating pheromones. This pathway can be engineered to couple with foreign GPCRs, enabling the detection of ligand-induced activation through measurable readouts like reporter gene expression or cell growth. Key milestones include early work by researchers such as King et al. (1990) and Kang et al. (1990), who demonstrated the functional expression of mammalian GPCRs in yeast by creating chimeric G proteins to bridge receptor-G protein interactions.</w:t>
      </w:r>
    </w:p>
    <w:p>
      <w:pPr>
        <w:pStyle w:val="Normal"/>
        <w:bidi w:val="0"/>
        <w:jc w:val="start"/>
        <w:rPr/>
      </w:pPr>
      <w:r>
        <w:rPr/>
      </w:r>
    </w:p>
    <w:p>
      <w:pPr>
        <w:pStyle w:val="Normal"/>
        <w:bidi w:val="0"/>
        <w:jc w:val="start"/>
        <w:rPr/>
      </w:pPr>
      <w:r>
        <w:rPr/>
        <w:t>## Advantages Over Other Model Systems</w:t>
      </w:r>
    </w:p>
    <w:p>
      <w:pPr>
        <w:pStyle w:val="Normal"/>
        <w:bidi w:val="0"/>
        <w:jc w:val="start"/>
        <w:rPr/>
      </w:pPr>
      <w:r>
        <w:rPr/>
      </w:r>
    </w:p>
    <w:p>
      <w:pPr>
        <w:pStyle w:val="Normal"/>
        <w:bidi w:val="0"/>
        <w:jc w:val="start"/>
        <w:rPr/>
      </w:pPr>
      <w:r>
        <w:rPr/>
        <w:t>Yeast excels in several practical aspects for GPCR research:</w:t>
      </w:r>
    </w:p>
    <w:p>
      <w:pPr>
        <w:pStyle w:val="Normal"/>
        <w:bidi w:val="0"/>
        <w:jc w:val="start"/>
        <w:rPr/>
      </w:pPr>
      <w:r>
        <w:rPr/>
      </w:r>
    </w:p>
    <w:p>
      <w:pPr>
        <w:pStyle w:val="Normal"/>
        <w:bidi w:val="0"/>
        <w:jc w:val="start"/>
        <w:rPr/>
      </w:pPr>
      <w:r>
        <w:rPr/>
        <w:t>- **Simplicity and Cost-Effectiveness**: Yeast cells are easy to culture, requiring minimal equipment and inexpensive media. This contrasts with mammalian cell lines, which demand specialized incubators, sera, and sterile conditions, increasing costs and complexity.</w:t>
      </w:r>
    </w:p>
    <w:p>
      <w:pPr>
        <w:pStyle w:val="Normal"/>
        <w:bidi w:val="0"/>
        <w:jc w:val="start"/>
        <w:rPr/>
      </w:pPr>
      <w:r>
        <w:rPr/>
      </w:r>
    </w:p>
    <w:p>
      <w:pPr>
        <w:pStyle w:val="Normal"/>
        <w:bidi w:val="0"/>
        <w:jc w:val="start"/>
        <w:rPr/>
      </w:pPr>
      <w:r>
        <w:rPr/>
        <w:t>- **Genetic Engineering Capabilities**: Yeast supports high-efficiency transformation and homologous recombination, facilitating the integration of GPCR genes, G protein chimeras, and reporter constructs. For instance, promoters like PGK1 or ADH1 can be used to drive receptor expression, as seen in studies coupling human neurotensin receptors or fungal receptors from *Coprinus cinereus*.</w:t>
      </w:r>
    </w:p>
    <w:p>
      <w:pPr>
        <w:pStyle w:val="Normal"/>
        <w:bidi w:val="0"/>
        <w:jc w:val="start"/>
        <w:rPr/>
      </w:pPr>
      <w:r>
        <w:rPr/>
      </w:r>
    </w:p>
    <w:p>
      <w:pPr>
        <w:pStyle w:val="Normal"/>
        <w:bidi w:val="0"/>
        <w:jc w:val="start"/>
        <w:rPr/>
      </w:pPr>
      <w:r>
        <w:rPr/>
        <w:t>- **Suitability for High-Throughput Applications**: The small size of yeast cells and their robustness make them ideal for miniaturization and automation in screening assays. Yeast-based systems are particularly advantageous for high-throughput screening (HTS) of compound libraries to identify agonists, as positive signals (e.g., growth or enzyme production) are straightforward to detect without sophisticated equipment.</w:t>
      </w:r>
    </w:p>
    <w:p>
      <w:pPr>
        <w:pStyle w:val="Normal"/>
        <w:bidi w:val="0"/>
        <w:jc w:val="start"/>
        <w:rPr/>
      </w:pPr>
      <w:r>
        <w:rPr/>
      </w:r>
    </w:p>
    <w:p>
      <w:pPr>
        <w:pStyle w:val="Normal"/>
        <w:bidi w:val="0"/>
        <w:jc w:val="start"/>
        <w:rPr/>
      </w:pPr>
      <w:r>
        <w:rPr/>
        <w:t>- **Functional Coupling and Assay Readouts**: By engineering G protein chimeras—such as Kang-type (fusing yeast Gpa1 with mammalian Gα subunits) or transplant chimeras (replacing the C-terminal region of Gpa1 with mammalian sequences)—researchers can achieve efficient coupling. Examples include the successful coupling of receptors like CRLR with RAMPs for CGRP and adrenomedullin signaling, as reported by Miret et al. (2002).</w:t>
      </w:r>
    </w:p>
    <w:p>
      <w:pPr>
        <w:pStyle w:val="Normal"/>
        <w:bidi w:val="0"/>
        <w:jc w:val="start"/>
        <w:rPr/>
      </w:pPr>
      <w:r>
        <w:rPr/>
      </w:r>
    </w:p>
    <w:p>
      <w:pPr>
        <w:pStyle w:val="Normal"/>
        <w:bidi w:val="0"/>
        <w:jc w:val="start"/>
        <w:rPr/>
      </w:pPr>
      <w:r>
        <w:rPr/>
        <w:t>Compared to mammalian cells, yeast avoids issues like variable expression levels due to cell cycle dependencies or interference from endogenous GPCRs. However, yeast membranes differ in lipid composition from mammalian ones, which may affect GPCR pharmacology, as noted in studies on opioid receptors (Lagane et al. 2000).</w:t>
      </w:r>
    </w:p>
    <w:p>
      <w:pPr>
        <w:pStyle w:val="Normal"/>
        <w:bidi w:val="0"/>
        <w:jc w:val="start"/>
        <w:rPr/>
      </w:pPr>
      <w:r>
        <w:rPr/>
      </w:r>
    </w:p>
    <w:p>
      <w:pPr>
        <w:pStyle w:val="Normal"/>
        <w:bidi w:val="0"/>
        <w:jc w:val="start"/>
        <w:rPr/>
      </w:pPr>
      <w:r>
        <w:rPr/>
        <w:t>## Key Components of Yeast-Based GPCR Systems</w:t>
      </w:r>
    </w:p>
    <w:p>
      <w:pPr>
        <w:pStyle w:val="Normal"/>
        <w:bidi w:val="0"/>
        <w:jc w:val="start"/>
        <w:rPr/>
      </w:pPr>
      <w:r>
        <w:rPr/>
      </w:r>
    </w:p>
    <w:p>
      <w:pPr>
        <w:pStyle w:val="Normal"/>
        <w:bidi w:val="0"/>
        <w:jc w:val="start"/>
        <w:rPr/>
      </w:pPr>
      <w:r>
        <w:rPr/>
        <w:t>To set up a yeast model for GPCR studies, focus on these core elements:</w:t>
      </w:r>
    </w:p>
    <w:p>
      <w:pPr>
        <w:pStyle w:val="Normal"/>
        <w:bidi w:val="0"/>
        <w:jc w:val="start"/>
        <w:rPr/>
      </w:pPr>
      <w:r>
        <w:rPr/>
      </w:r>
    </w:p>
    <w:p>
      <w:pPr>
        <w:pStyle w:val="Normal"/>
        <w:bidi w:val="0"/>
        <w:jc w:val="start"/>
        <w:rPr/>
      </w:pPr>
      <w:r>
        <w:rPr/>
        <w:t>- **Native Pathway Adaptation**: The yeast pheromone-response pathway involves Gpa1 (Gα), Ste4/Ste18 (Gβγ), and a MAP kinase cascade leading to transcriptional activation. Heterologous GPCRs replace the native Ste2 or Ste3 receptors, with engineered G proteins ensuring signal transduction.</w:t>
      </w:r>
    </w:p>
    <w:p>
      <w:pPr>
        <w:pStyle w:val="Normal"/>
        <w:bidi w:val="0"/>
        <w:jc w:val="start"/>
        <w:rPr/>
      </w:pPr>
      <w:r>
        <w:rPr/>
      </w:r>
    </w:p>
    <w:p>
      <w:pPr>
        <w:pStyle w:val="Normal"/>
        <w:bidi w:val="0"/>
        <w:jc w:val="start"/>
        <w:rPr/>
      </w:pPr>
      <w:r>
        <w:rPr/>
        <w:t>- **G Protein Modifications**: Chimeras like Gpa1/Gαi2 or Gpa1/Gαs (with modifications such as D229S) enhance specificity. Transplant chimeras, where specificity determinants (e.g., Asp229 in Gαi3) are grafted onto Gpa1, have proven effective for receptors from species like *Schizophyllum commune* (Fowler et al. 1999; Hegner et al. 1999).</w:t>
      </w:r>
    </w:p>
    <w:p>
      <w:pPr>
        <w:pStyle w:val="Normal"/>
        <w:bidi w:val="0"/>
        <w:jc w:val="start"/>
        <w:rPr/>
      </w:pPr>
      <w:r>
        <w:rPr/>
      </w:r>
    </w:p>
    <w:p>
      <w:pPr>
        <w:pStyle w:val="Normal"/>
        <w:bidi w:val="0"/>
        <w:jc w:val="start"/>
        <w:rPr/>
      </w:pPr>
      <w:r>
        <w:rPr/>
        <w:t>- **Reporter Systems**: Activation is often monitored via lacZ (β-galactosidase) under pheromone-responsive promoters or growth-based assays on selective media.</w:t>
      </w:r>
    </w:p>
    <w:p>
      <w:pPr>
        <w:pStyle w:val="Normal"/>
        <w:bidi w:val="0"/>
        <w:jc w:val="start"/>
        <w:rPr/>
      </w:pPr>
      <w:r>
        <w:rPr/>
      </w:r>
    </w:p>
    <w:p>
      <w:pPr>
        <w:pStyle w:val="Normal"/>
        <w:bidi w:val="0"/>
        <w:jc w:val="start"/>
        <w:rPr/>
      </w:pPr>
      <w:r>
        <w:rPr/>
        <w:t>## Practical Guidance for Getting Started</w:t>
      </w:r>
    </w:p>
    <w:p>
      <w:pPr>
        <w:pStyle w:val="Normal"/>
        <w:bidi w:val="0"/>
        <w:jc w:val="start"/>
        <w:rPr/>
      </w:pPr>
      <w:r>
        <w:rPr/>
      </w:r>
    </w:p>
    <w:p>
      <w:pPr>
        <w:pStyle w:val="Normal"/>
        <w:bidi w:val="0"/>
        <w:jc w:val="start"/>
        <w:rPr/>
      </w:pPr>
      <w:r>
        <w:rPr/>
        <w:t>Begin by selecting a yeast strain with deletions in native pathway components (e.g., far1Δ to prevent cell cycle arrest) to optimize signal detection. Transform with plasmids expressing the GPCR under a strong promoter and a compatible G protein chimera. Verify expression via Western blotting and coupling through agonist-induced reporter activity.</w:t>
      </w:r>
    </w:p>
    <w:p>
      <w:pPr>
        <w:pStyle w:val="Normal"/>
        <w:bidi w:val="0"/>
        <w:jc w:val="start"/>
        <w:rPr/>
      </w:pPr>
      <w:r>
        <w:rPr/>
      </w:r>
    </w:p>
    <w:p>
      <w:pPr>
        <w:pStyle w:val="Normal"/>
        <w:bidi w:val="0"/>
        <w:jc w:val="start"/>
        <w:rPr/>
      </w:pPr>
      <w:r>
        <w:rPr/>
        <w:t>Troubleshoot initial setups by ensuring proper plasmid stability and avoiding toxicity from overexpression. For challenging GPCRs, consider co-expressing accessory proteins like RAMPs, as demonstrated with CRLR (Miret et al. 2002).</w:t>
      </w:r>
    </w:p>
    <w:p>
      <w:pPr>
        <w:pStyle w:val="Normal"/>
        <w:bidi w:val="0"/>
        <w:jc w:val="start"/>
        <w:rPr/>
      </w:pPr>
      <w:r>
        <w:rPr/>
      </w:r>
    </w:p>
    <w:p>
      <w:pPr>
        <w:pStyle w:val="Normal"/>
        <w:bidi w:val="0"/>
        <w:jc w:val="start"/>
        <w:rPr/>
      </w:pPr>
      <w:r>
        <w:rPr/>
        <w:t>## Limitations and Considerations</w:t>
      </w:r>
    </w:p>
    <w:p>
      <w:pPr>
        <w:pStyle w:val="Normal"/>
        <w:bidi w:val="0"/>
        <w:jc w:val="start"/>
        <w:rPr/>
      </w:pPr>
      <w:r>
        <w:rPr/>
      </w:r>
    </w:p>
    <w:p>
      <w:pPr>
        <w:pStyle w:val="Normal"/>
        <w:bidi w:val="0"/>
        <w:jc w:val="start"/>
        <w:rPr/>
      </w:pPr>
      <w:r>
        <w:rPr/>
        <w:t>While yeast is versatile, not all GPCRs couple efficiently due to specificity issues or the absence of mammalian accessory factors. Lipid differences may alter ligand binding, and yeast lacks certain post-translational modifications. Nonetheless, its role in defining minimal functional complexes (e.g., heterodimers) is invaluable, as shown in reconstituting complex receptors.</w:t>
      </w:r>
    </w:p>
    <w:p>
      <w:pPr>
        <w:pStyle w:val="Normal"/>
        <w:bidi w:val="0"/>
        <w:jc w:val="start"/>
        <w:rPr/>
      </w:pPr>
      <w:r>
        <w:rPr/>
      </w:r>
    </w:p>
    <w:p>
      <w:pPr>
        <w:pStyle w:val="Normal"/>
        <w:bidi w:val="0"/>
        <w:jc w:val="start"/>
        <w:rPr/>
      </w:pPr>
      <w:r>
        <w:rPr/>
        <w:t>In summary, yeast's combination of simplicity, manipulability, and scalability positions it as an essential tool for GPCR functional studies, ligand screening, and mechanistic insights, complementing more complex systems.</w:t>
      </w:r>
    </w:p>
    <w:p>
      <w:pPr>
        <w:pStyle w:val="Normal"/>
        <w:bidi w:val="0"/>
        <w:jc w:val="start"/>
        <w:rPr/>
      </w:pPr>
      <w:r>
        <w:rPr/>
      </w:r>
    </w:p>
    <w:p>
      <w:pPr>
        <w:pStyle w:val="Normal"/>
        <w:bidi w:val="0"/>
        <w:jc w:val="start"/>
        <w:rPr/>
      </w:pPr>
      <w:r>
        <w:rPr/>
        <w:t>(Word count: 712)</w:t>
      </w:r>
    </w:p>
    <w:p>
      <w:pPr>
        <w:pStyle w:val="Normal"/>
        <w:bidi w:val="0"/>
        <w:jc w:val="start"/>
        <w:rPr/>
      </w:pPr>
      <w:r>
        <w:rPr/>
      </w:r>
    </w:p>
    <w:p>
      <w:pPr>
        <w:pStyle w:val="Normal"/>
        <w:bidi w:val="0"/>
        <w:jc w:val="start"/>
        <w:rPr/>
      </w:pPr>
      <w:r>
        <w:rPr/>
        <w:t># Section 3: Overview of G Protein-Coupled Receptors (GPCRs) in Heterologous Expression</w:t>
      </w:r>
    </w:p>
    <w:p>
      <w:pPr>
        <w:pStyle w:val="Normal"/>
        <w:bidi w:val="0"/>
        <w:jc w:val="start"/>
        <w:rPr/>
      </w:pPr>
      <w:r>
        <w:rPr/>
      </w:r>
    </w:p>
    <w:p>
      <w:pPr>
        <w:pStyle w:val="Normal"/>
        <w:bidi w:val="0"/>
        <w:jc w:val="start"/>
        <w:rPr/>
      </w:pPr>
      <w:r>
        <w:rPr/>
        <w:t>## Basic Structure and Function of GPCRs</w:t>
      </w:r>
    </w:p>
    <w:p>
      <w:pPr>
        <w:pStyle w:val="Normal"/>
        <w:bidi w:val="0"/>
        <w:jc w:val="start"/>
        <w:rPr/>
      </w:pPr>
      <w:r>
        <w:rPr/>
      </w:r>
    </w:p>
    <w:p>
      <w:pPr>
        <w:pStyle w:val="Normal"/>
        <w:bidi w:val="0"/>
        <w:jc w:val="start"/>
        <w:rPr/>
      </w:pPr>
      <w:r>
        <w:rPr/>
        <w:t>G protein-coupled receptors (GPCRs) form a large superfamily of membrane proteins characterized by seven transmembrane helices, an extracellular N-terminus, and an intracellular C-terminus. These receptors detect diverse extracellular signals, including hormones, neurotransmitters, and pheromones, and transduce them into intracellular responses via heterotrimeric G proteins composed of Gα, Gβ, and Gγ subunits. Upon ligand binding, GPCRs undergo conformational changes that promote guanine nucleotide exchange on the Gα subunit, leading to dissociation of the Gα-GTP from the Gβγ dimer. This activates downstream effectors, such as adenylyl cyclase or MAP kinase cascades, ultimately influencing cellular processes like gene transcription or ion channel activity.</w:t>
      </w:r>
    </w:p>
    <w:p>
      <w:pPr>
        <w:pStyle w:val="Normal"/>
        <w:bidi w:val="0"/>
        <w:jc w:val="start"/>
        <w:rPr/>
      </w:pPr>
      <w:r>
        <w:rPr/>
      </w:r>
    </w:p>
    <w:p>
      <w:pPr>
        <w:pStyle w:val="Normal"/>
        <w:bidi w:val="0"/>
        <w:jc w:val="start"/>
        <w:rPr/>
      </w:pPr>
      <w:r>
        <w:rPr/>
        <w:t>In native systems, GPCRs exhibit specificity in coupling to particular G protein subtypes (e.g., Gαi, Gαs, Gαq), determined by regions like the C-terminal tail of Gα. Structural insights from studies, such as those on the Gαβγ heterotrimer (Lambright et al. 1996; Wall et al. 1995), highlight key interaction sites, including switch domains and loops that mediate receptor contact.</w:t>
      </w:r>
    </w:p>
    <w:p>
      <w:pPr>
        <w:pStyle w:val="Normal"/>
        <w:bidi w:val="0"/>
        <w:jc w:val="start"/>
        <w:rPr/>
      </w:pPr>
      <w:r>
        <w:rPr/>
      </w:r>
    </w:p>
    <w:p>
      <w:pPr>
        <w:pStyle w:val="Normal"/>
        <w:bidi w:val="0"/>
        <w:jc w:val="start"/>
        <w:rPr/>
      </w:pPr>
      <w:r>
        <w:rPr/>
        <w:t>## Heterologous Expression Systems: Why Use Non-Native Hosts?</w:t>
      </w:r>
    </w:p>
    <w:p>
      <w:pPr>
        <w:pStyle w:val="Normal"/>
        <w:bidi w:val="0"/>
        <w:jc w:val="start"/>
        <w:rPr/>
      </w:pPr>
      <w:r>
        <w:rPr/>
      </w:r>
    </w:p>
    <w:p>
      <w:pPr>
        <w:pStyle w:val="Normal"/>
        <w:bidi w:val="0"/>
        <w:jc w:val="start"/>
        <w:rPr/>
      </w:pPr>
      <w:r>
        <w:rPr/>
        <w:t>Heterologous expression involves introducing GPCRs from one species into a foreign host, such as yeast (*Saccharomyces cerevisiae*), to study their function in isolation from native signaling networks. This approach is essential for receptors from complex organisms like mammals or fungi, where endogenous pathways can confound analysis. Yeast serves as a eukaryotic host that supports membrane protein folding and post-translational modifications, making it suitable for functional assays. Early demonstrations include the expression of mammalian β2-adrenergic receptors (King et al. 1990) and somatostatin receptors (Kang et al. 1990), coupled to engineered yeast pathways.</w:t>
      </w:r>
    </w:p>
    <w:p>
      <w:pPr>
        <w:pStyle w:val="Normal"/>
        <w:bidi w:val="0"/>
        <w:jc w:val="start"/>
        <w:rPr/>
      </w:pPr>
      <w:r>
        <w:rPr/>
      </w:r>
    </w:p>
    <w:p>
      <w:pPr>
        <w:pStyle w:val="Normal"/>
        <w:bidi w:val="0"/>
        <w:jc w:val="start"/>
        <w:rPr/>
      </w:pPr>
      <w:r>
        <w:rPr/>
        <w:t>To set up heterologous expression, select vectors with promoters like PGK1 or ADH1 for receptor genes, and integrate them into yeast strains via transformation. Verify expression through Western blotting or immunofluorescence, and assess functionality by monitoring downstream signals, such as β-galactosidase reporter activity.</w:t>
      </w:r>
    </w:p>
    <w:p>
      <w:pPr>
        <w:pStyle w:val="Normal"/>
        <w:bidi w:val="0"/>
        <w:jc w:val="start"/>
        <w:rPr/>
      </w:pPr>
      <w:r>
        <w:rPr/>
      </w:r>
    </w:p>
    <w:p>
      <w:pPr>
        <w:pStyle w:val="Normal"/>
        <w:bidi w:val="0"/>
        <w:jc w:val="start"/>
        <w:rPr/>
      </w:pPr>
      <w:r>
        <w:rPr/>
        <w:t>## Advantages of Yeast for GPCR Expression</w:t>
      </w:r>
    </w:p>
    <w:p>
      <w:pPr>
        <w:pStyle w:val="Normal"/>
        <w:bidi w:val="0"/>
        <w:jc w:val="start"/>
        <w:rPr/>
      </w:pPr>
      <w:r>
        <w:rPr/>
      </w:r>
    </w:p>
    <w:p>
      <w:pPr>
        <w:pStyle w:val="Normal"/>
        <w:bidi w:val="0"/>
        <w:jc w:val="start"/>
        <w:rPr/>
      </w:pPr>
      <w:r>
        <w:rPr/>
        <w:t>Yeast offers several benefits for heterologous GPCR studies:</w:t>
      </w:r>
    </w:p>
    <w:p>
      <w:pPr>
        <w:pStyle w:val="Normal"/>
        <w:bidi w:val="0"/>
        <w:jc w:val="start"/>
        <w:rPr/>
      </w:pPr>
      <w:r>
        <w:rPr/>
      </w:r>
    </w:p>
    <w:p>
      <w:pPr>
        <w:pStyle w:val="Normal"/>
        <w:bidi w:val="0"/>
        <w:jc w:val="start"/>
        <w:rPr/>
      </w:pPr>
      <w:r>
        <w:rPr/>
        <w:t>- **Simplified Background**: Lacking most mammalian GPCRs, yeast minimizes interference, allowing precise engineering of signaling via the pheromone-response pathway (involving Gpa1, Ste4/Ste18, and MAP kinases).</w:t>
      </w:r>
    </w:p>
    <w:p>
      <w:pPr>
        <w:pStyle w:val="Normal"/>
        <w:bidi w:val="0"/>
        <w:jc w:val="start"/>
        <w:rPr/>
      </w:pPr>
      <w:r>
        <w:rPr/>
      </w:r>
    </w:p>
    <w:p>
      <w:pPr>
        <w:pStyle w:val="Normal"/>
        <w:bidi w:val="0"/>
        <w:jc w:val="start"/>
        <w:rPr/>
      </w:pPr>
      <w:r>
        <w:rPr/>
        <w:t>- **Genetic Tools**: High-efficiency recombination enables creation of G protein chimeras (e.g., Gpa1/Gα transplants) to facilitate coupling, as seen with human neurotensin receptors (Leplatois et al. 2001) or fungal receptors from *Coprinus cinereus* (Olesnicky et al. 1999, 2000).</w:t>
      </w:r>
    </w:p>
    <w:p>
      <w:pPr>
        <w:pStyle w:val="Normal"/>
        <w:bidi w:val="0"/>
        <w:jc w:val="start"/>
        <w:rPr/>
      </w:pPr>
      <w:r>
        <w:rPr/>
      </w:r>
    </w:p>
    <w:p>
      <w:pPr>
        <w:pStyle w:val="Normal"/>
        <w:bidi w:val="0"/>
        <w:jc w:val="start"/>
        <w:rPr/>
      </w:pPr>
      <w:r>
        <w:rPr/>
        <w:t>- **Scalability for Screening**: Yeast supports high-throughput formats for ligand identification, using readouts like growth or enzyme production, which are cost-effective and automatable.</w:t>
      </w:r>
    </w:p>
    <w:p>
      <w:pPr>
        <w:pStyle w:val="Normal"/>
        <w:bidi w:val="0"/>
        <w:jc w:val="start"/>
        <w:rPr/>
      </w:pPr>
      <w:r>
        <w:rPr/>
      </w:r>
    </w:p>
    <w:p>
      <w:pPr>
        <w:pStyle w:val="Normal"/>
        <w:bidi w:val="0"/>
        <w:jc w:val="start"/>
        <w:rPr/>
      </w:pPr>
      <w:r>
        <w:rPr/>
        <w:t>These advantages enable reconstitution of complex systems, such as calcitonin-receptor-like receptor (CRLR) with receptor activity-modifying proteins (RAMPs) to form functional CGRP or adrenomedullin receptors (Miret et al. 2002).</w:t>
      </w:r>
    </w:p>
    <w:p>
      <w:pPr>
        <w:pStyle w:val="Normal"/>
        <w:bidi w:val="0"/>
        <w:jc w:val="start"/>
        <w:rPr/>
      </w:pPr>
      <w:r>
        <w:rPr/>
      </w:r>
    </w:p>
    <w:p>
      <w:pPr>
        <w:pStyle w:val="Normal"/>
        <w:bidi w:val="0"/>
        <w:jc w:val="start"/>
        <w:rPr/>
      </w:pPr>
      <w:r>
        <w:rPr/>
        <w:t>## Challenges in Heterologous Expression</w:t>
      </w:r>
    </w:p>
    <w:p>
      <w:pPr>
        <w:pStyle w:val="Normal"/>
        <w:bidi w:val="0"/>
        <w:jc w:val="start"/>
        <w:rPr/>
      </w:pPr>
      <w:r>
        <w:rPr/>
      </w:r>
    </w:p>
    <w:p>
      <w:pPr>
        <w:pStyle w:val="Normal"/>
        <w:bidi w:val="0"/>
        <w:jc w:val="start"/>
        <w:rPr/>
      </w:pPr>
      <w:r>
        <w:rPr/>
        <w:t>Despite benefits, challenges arise:</w:t>
      </w:r>
    </w:p>
    <w:p>
      <w:pPr>
        <w:pStyle w:val="Normal"/>
        <w:bidi w:val="0"/>
        <w:jc w:val="start"/>
        <w:rPr/>
      </w:pPr>
      <w:r>
        <w:rPr/>
      </w:r>
    </w:p>
    <w:p>
      <w:pPr>
        <w:pStyle w:val="Normal"/>
        <w:bidi w:val="0"/>
        <w:jc w:val="start"/>
        <w:rPr/>
      </w:pPr>
      <w:r>
        <w:rPr/>
        <w:t>- **Coupling Specificity**: Not all GPCRs couple efficiently; modifications like transplant chimeras (e.g., replacing Gpa1 C-terminus with mammalian Gα sequences) address this, but residues like Asp229 in Gαi3 can restrict interactions (Baranski et al. 1999).</w:t>
      </w:r>
    </w:p>
    <w:p>
      <w:pPr>
        <w:pStyle w:val="Normal"/>
        <w:bidi w:val="0"/>
        <w:jc w:val="start"/>
        <w:rPr/>
      </w:pPr>
      <w:r>
        <w:rPr/>
      </w:r>
    </w:p>
    <w:p>
      <w:pPr>
        <w:pStyle w:val="Normal"/>
        <w:bidi w:val="0"/>
        <w:jc w:val="start"/>
        <w:rPr/>
      </w:pPr>
      <w:r>
        <w:rPr/>
        <w:t>- **Membrane Lipid Differences**: Yeast lipids differ from mammalian ones, potentially altering pharmacology, as observed with opioid receptors where binding affinities varied (Lagane et al. 2000).</w:t>
      </w:r>
    </w:p>
    <w:p>
      <w:pPr>
        <w:pStyle w:val="Normal"/>
        <w:bidi w:val="0"/>
        <w:jc w:val="start"/>
        <w:rPr/>
      </w:pPr>
      <w:r>
        <w:rPr/>
      </w:r>
    </w:p>
    <w:p>
      <w:pPr>
        <w:pStyle w:val="Normal"/>
        <w:bidi w:val="0"/>
        <w:jc w:val="start"/>
        <w:rPr/>
      </w:pPr>
      <w:r>
        <w:rPr/>
        <w:t>- **Accessory Proteins and Heterodimerization**: Many GPCRs require interacting proteins or form heterodimers for function (Milligan and White 2001). Yeast lacks these, necessitating co-expression, as in CRLR/RAMP reconstitutions.</w:t>
      </w:r>
    </w:p>
    <w:p>
      <w:pPr>
        <w:pStyle w:val="Normal"/>
        <w:bidi w:val="0"/>
        <w:jc w:val="start"/>
        <w:rPr/>
      </w:pPr>
      <w:r>
        <w:rPr/>
      </w:r>
    </w:p>
    <w:p>
      <w:pPr>
        <w:pStyle w:val="Normal"/>
        <w:bidi w:val="0"/>
        <w:jc w:val="start"/>
        <w:rPr/>
      </w:pPr>
      <w:r>
        <w:rPr/>
        <w:t>Troubleshoot by testing multiple G protein chimeras (Kang-type, Cadus-type, or transplants) and optimizing expression levels to avoid toxicity.</w:t>
      </w:r>
    </w:p>
    <w:p>
      <w:pPr>
        <w:pStyle w:val="Normal"/>
        <w:bidi w:val="0"/>
        <w:jc w:val="start"/>
        <w:rPr/>
      </w:pPr>
      <w:r>
        <w:rPr/>
      </w:r>
    </w:p>
    <w:p>
      <w:pPr>
        <w:pStyle w:val="Normal"/>
        <w:bidi w:val="0"/>
        <w:jc w:val="start"/>
        <w:rPr/>
      </w:pPr>
      <w:r>
        <w:rPr/>
        <w:t>## Practical Guidance for Implementation</w:t>
      </w:r>
    </w:p>
    <w:p>
      <w:pPr>
        <w:pStyle w:val="Normal"/>
        <w:bidi w:val="0"/>
        <w:jc w:val="start"/>
        <w:rPr/>
      </w:pPr>
      <w:r>
        <w:rPr/>
      </w:r>
    </w:p>
    <w:p>
      <w:pPr>
        <w:pStyle w:val="Normal"/>
        <w:bidi w:val="0"/>
        <w:jc w:val="start"/>
        <w:rPr/>
      </w:pPr>
      <w:r>
        <w:rPr/>
        <w:t>Start with strain selection (e.g., those with far1Δ for assay optimization). Clone the GPCR into a yeast vector, transform, and confirm coupling using agonist-induced assays. For non-coupling receptors, iterate with Gα variants or fusions (Medici et al. 1997). Monitor pharmacology to ensure it aligns with native data, adjusting for yeast-specific effects.</w:t>
      </w:r>
    </w:p>
    <w:p>
      <w:pPr>
        <w:pStyle w:val="Normal"/>
        <w:bidi w:val="0"/>
        <w:jc w:val="start"/>
        <w:rPr/>
      </w:pPr>
      <w:r>
        <w:rPr/>
      </w:r>
    </w:p>
    <w:p>
      <w:pPr>
        <w:pStyle w:val="Normal"/>
        <w:bidi w:val="0"/>
        <w:jc w:val="start"/>
        <w:rPr/>
      </w:pPr>
      <w:r>
        <w:rPr/>
        <w:t>In essence, heterologous expression in yeast provides a robust platform for dissecting GPCR mechanisms, despite hurdles like lipid influences, by leveraging genetic adaptability for functional insights.</w:t>
      </w:r>
    </w:p>
    <w:p>
      <w:pPr>
        <w:pStyle w:val="Normal"/>
        <w:bidi w:val="0"/>
        <w:jc w:val="start"/>
        <w:rPr/>
      </w:pPr>
      <w:r>
        <w:rPr/>
      </w:r>
    </w:p>
    <w:p>
      <w:pPr>
        <w:pStyle w:val="Normal"/>
        <w:bidi w:val="0"/>
        <w:jc w:val="start"/>
        <w:rPr/>
      </w:pPr>
      <w:r>
        <w:rPr/>
        <w:t>(Word count: 598)</w:t>
      </w:r>
    </w:p>
    <w:p>
      <w:pPr>
        <w:pStyle w:val="Normal"/>
        <w:bidi w:val="0"/>
        <w:jc w:val="start"/>
        <w:rPr/>
      </w:pPr>
      <w:r>
        <w:rPr/>
      </w:r>
    </w:p>
    <w:p>
      <w:pPr>
        <w:pStyle w:val="Normal"/>
        <w:bidi w:val="0"/>
        <w:jc w:val="start"/>
        <w:rPr/>
      </w:pPr>
      <w:r>
        <w:rPr/>
        <w:t># Section 4: Historical Development and Key References in Yeast GPCR Research</w:t>
      </w:r>
    </w:p>
    <w:p>
      <w:pPr>
        <w:pStyle w:val="Normal"/>
        <w:bidi w:val="0"/>
        <w:jc w:val="start"/>
        <w:rPr/>
      </w:pPr>
      <w:r>
        <w:rPr/>
      </w:r>
    </w:p>
    <w:p>
      <w:pPr>
        <w:pStyle w:val="Normal"/>
        <w:bidi w:val="0"/>
        <w:jc w:val="start"/>
        <w:rPr/>
      </w:pPr>
      <w:r>
        <w:rPr/>
        <w:t>## Early Foundations: Understanding the Yeast Pheromone-Response Pathway</w:t>
      </w:r>
    </w:p>
    <w:p>
      <w:pPr>
        <w:pStyle w:val="Normal"/>
        <w:bidi w:val="0"/>
        <w:jc w:val="start"/>
        <w:rPr/>
      </w:pPr>
      <w:r>
        <w:rPr/>
      </w:r>
    </w:p>
    <w:p>
      <w:pPr>
        <w:pStyle w:val="Normal"/>
        <w:bidi w:val="0"/>
        <w:jc w:val="start"/>
        <w:rPr/>
      </w:pPr>
      <w:r>
        <w:rPr/>
        <w:t>The use of yeast as a model for G protein-coupled receptor (GPCR) studies builds on foundational research into the native yeast mating pathway, which shares mechanistic similarities with mammalian GPCR signaling. Initial work focused on elucidating the components of this pathway in *Saccharomyces cerevisiae*. For instance, studies identified the role of the Gα subunit Gpa1 and the Gβγ subunits Ste4/Ste18 in transducing signals from pheromone receptors Ste2 and Ste3, leading to activation of a MAP kinase cascade and transcriptional responses.</w:t>
      </w:r>
    </w:p>
    <w:p>
      <w:pPr>
        <w:pStyle w:val="Normal"/>
        <w:bidi w:val="0"/>
        <w:jc w:val="start"/>
        <w:rPr/>
      </w:pPr>
      <w:r>
        <w:rPr/>
      </w:r>
    </w:p>
    <w:p>
      <w:pPr>
        <w:pStyle w:val="Normal"/>
        <w:bidi w:val="0"/>
        <w:jc w:val="start"/>
        <w:rPr/>
      </w:pPr>
      <w:r>
        <w:rPr/>
        <w:t>Key early references include Miyajima et al. (1987), who detailed the involvement of G proteins in the yeast mating response, demonstrating how pheromone binding triggers GDP-GTP exchange on Gpa1 and subsequent dissociation of Gβγ to activate downstream effectors. Nomoto et al. (1990) further characterized the MAP kinase components, such as Fus3, and their role in pheromone-induced gene expression. These studies laid the groundwork for adapting the pathway for heterologous GPCRs by providing a blueprint for engineering signal transduction. Practically, researchers starting yeast GPCR work should review these papers to understand pathway modifications, such as deleting native receptors (ste2Δ or ste3Δ) to prevent interference and integrating reporter genes like lacZ under pheromone-responsive promoters (e.g., FUS1) for assay readouts.</w:t>
      </w:r>
    </w:p>
    <w:p>
      <w:pPr>
        <w:pStyle w:val="Normal"/>
        <w:bidi w:val="0"/>
        <w:jc w:val="start"/>
        <w:rPr/>
      </w:pPr>
      <w:r>
        <w:rPr/>
      </w:r>
    </w:p>
    <w:p>
      <w:pPr>
        <w:pStyle w:val="Normal"/>
        <w:bidi w:val="0"/>
        <w:jc w:val="start"/>
        <w:rPr/>
      </w:pPr>
      <w:r>
        <w:rPr/>
        <w:t>## Pioneering Expression of Mammalian GPCRs in Yeast</w:t>
      </w:r>
    </w:p>
    <w:p>
      <w:pPr>
        <w:pStyle w:val="Normal"/>
        <w:bidi w:val="0"/>
        <w:jc w:val="start"/>
        <w:rPr/>
      </w:pPr>
      <w:r>
        <w:rPr/>
      </w:r>
    </w:p>
    <w:p>
      <w:pPr>
        <w:pStyle w:val="Normal"/>
        <w:bidi w:val="0"/>
        <w:jc w:val="start"/>
        <w:rPr/>
      </w:pPr>
      <w:r>
        <w:rPr/>
        <w:t>The transition to using yeast for heterologous GPCR expression began in the early 1990s, marking a significant milestone in functional genomics. King et al. (1990) reported the first successful functional expression of a mammalian GPCR, the human β2-adrenergic receptor, in yeast. By coupling it to the yeast pheromone pathway via a chimeric G protein, they demonstrated ligand-induced activation, measured through growth assays. Concurrently, Kang et al. (1990) expressed the rat somatostatin receptor SSTR2 in yeast, achieving coupling to the native Gpa1 and detecting responses via β-galactosidase activity.</w:t>
      </w:r>
    </w:p>
    <w:p>
      <w:pPr>
        <w:pStyle w:val="Normal"/>
        <w:bidi w:val="0"/>
        <w:jc w:val="start"/>
        <w:rPr/>
      </w:pPr>
      <w:r>
        <w:rPr/>
      </w:r>
    </w:p>
    <w:p>
      <w:pPr>
        <w:pStyle w:val="Normal"/>
        <w:bidi w:val="0"/>
        <w:jc w:val="start"/>
        <w:rPr/>
      </w:pPr>
      <w:r>
        <w:rPr/>
        <w:t>These breakthroughs highlighted yeast's potential as a simple, genetically tractable system for studying GPCRs that are difficult to express in mammalian cells. To replicate these setups, select yeast strains with pathway modifications (e.g., far1Δ to avoid cell cycle arrest) and use promoters like PGK1 for receptor expression. Verify functionality by adding known agonists and monitoring reporter output, as described in these references. Troubleshooting low coupling may involve testing chimeric G proteins, as initial native Gpa1 often showed limited efficiency with mammalian receptors.</w:t>
      </w:r>
    </w:p>
    <w:p>
      <w:pPr>
        <w:pStyle w:val="Normal"/>
        <w:bidi w:val="0"/>
        <w:jc w:val="start"/>
        <w:rPr/>
      </w:pPr>
      <w:r>
        <w:rPr/>
      </w:r>
    </w:p>
    <w:p>
      <w:pPr>
        <w:pStyle w:val="Normal"/>
        <w:bidi w:val="0"/>
        <w:jc w:val="start"/>
        <w:rPr/>
      </w:pPr>
      <w:r>
        <w:rPr/>
        <w:t>## Development of G Protein Chimeras and Coupling Strategies</w:t>
      </w:r>
    </w:p>
    <w:p>
      <w:pPr>
        <w:pStyle w:val="Normal"/>
        <w:bidi w:val="0"/>
        <w:jc w:val="start"/>
        <w:rPr/>
      </w:pPr>
      <w:r>
        <w:rPr/>
      </w:r>
    </w:p>
    <w:p>
      <w:pPr>
        <w:pStyle w:val="Normal"/>
        <w:bidi w:val="0"/>
        <w:jc w:val="start"/>
        <w:rPr/>
      </w:pPr>
      <w:r>
        <w:rPr/>
        <w:t>Building on early successes, the 1990s saw innovations in G protein engineering to improve coupling specificity and efficiency. Conklin et al. (1993) introduced "transplant" chimeras, replacing the C-terminal region of yeast Gpa1 with mammalian Gα sequences to enhance receptor-G protein interactions. This approach was refined by Price et al. (1995, 1996), who developed Kang-type chimeras (fusing Gpa1 with Gαi or Gαs) and demonstrated their use in coupling receptors like the A1 adenosine receptor, enabling high-throughput agonist screening.</w:t>
      </w:r>
    </w:p>
    <w:p>
      <w:pPr>
        <w:pStyle w:val="Normal"/>
        <w:bidi w:val="0"/>
        <w:jc w:val="start"/>
        <w:rPr/>
      </w:pPr>
      <w:r>
        <w:rPr/>
      </w:r>
    </w:p>
    <w:p>
      <w:pPr>
        <w:pStyle w:val="Normal"/>
        <w:bidi w:val="0"/>
        <w:jc w:val="start"/>
        <w:rPr/>
      </w:pPr>
      <w:r>
        <w:rPr/>
        <w:t>Manfredi et al. (1996) at Cadus Pharmaceuticals advanced "Cadus-type" chimeras, incorporating random crossover points and mutations to optimize coupling for a broader range of GPCRs. Klein et al. (1998) applied these in identifying ligands for orphan receptors, using growth-based readouts. Baranski et al. (1999) identified key specificity determinants, such as Asp229 in Gαi3, which restricts coupling and can be mutated (e.g., D229S) for better compatibility.</w:t>
      </w:r>
    </w:p>
    <w:p>
      <w:pPr>
        <w:pStyle w:val="Normal"/>
        <w:bidi w:val="0"/>
        <w:jc w:val="start"/>
        <w:rPr/>
      </w:pPr>
      <w:r>
        <w:rPr/>
      </w:r>
    </w:p>
    <w:p>
      <w:pPr>
        <w:pStyle w:val="Normal"/>
        <w:bidi w:val="0"/>
        <w:jc w:val="start"/>
        <w:rPr/>
      </w:pPr>
      <w:r>
        <w:rPr/>
        <w:t>For practical application, construct chimeras via PCR-based cloning, as outlined in these studies: amplify Gpa1 and mammalian Gα fragments, fuse them (e.g., at the BamHI site), and integrate into yeast plasmids. Test coupling with dose-response curves of agonists, adjusting for residues like Ala230 in Gαi2 if specificity issues arise.</w:t>
      </w:r>
    </w:p>
    <w:p>
      <w:pPr>
        <w:pStyle w:val="Normal"/>
        <w:bidi w:val="0"/>
        <w:jc w:val="start"/>
        <w:rPr/>
      </w:pPr>
      <w:r>
        <w:rPr/>
      </w:r>
    </w:p>
    <w:p>
      <w:pPr>
        <w:pStyle w:val="Normal"/>
        <w:bidi w:val="0"/>
        <w:jc w:val="start"/>
        <w:rPr/>
      </w:pPr>
      <w:r>
        <w:rPr/>
        <w:t>## Expansion to Diverse GPCRs and High-Throughput Applications</w:t>
      </w:r>
    </w:p>
    <w:p>
      <w:pPr>
        <w:pStyle w:val="Normal"/>
        <w:bidi w:val="0"/>
        <w:jc w:val="start"/>
        <w:rPr/>
      </w:pPr>
      <w:r>
        <w:rPr/>
      </w:r>
    </w:p>
    <w:p>
      <w:pPr>
        <w:pStyle w:val="Normal"/>
        <w:bidi w:val="0"/>
        <w:jc w:val="start"/>
        <w:rPr/>
      </w:pPr>
      <w:r>
        <w:rPr/>
        <w:t>The late 1990s and early 2000s expanded yeast applications to fungal and complex mammalian GPCRs. Olesnicky et al. (1999, 2000) coupled receptors from *Coprinus cinereus* (e.g., Rcb1, Rcb3) using transplant chimeras, revealing species-specific coupling variations. Fowler et al. (1999) and Hegner et al. (1999) did similarly for *Schizophyllum commune* receptors, employing promoters like PGK1 or MET25.</w:t>
      </w:r>
    </w:p>
    <w:p>
      <w:pPr>
        <w:pStyle w:val="Normal"/>
        <w:bidi w:val="0"/>
        <w:jc w:val="start"/>
        <w:rPr/>
      </w:pPr>
      <w:r>
        <w:rPr/>
      </w:r>
    </w:p>
    <w:p>
      <w:pPr>
        <w:pStyle w:val="Normal"/>
        <w:bidi w:val="0"/>
        <w:jc w:val="start"/>
        <w:rPr/>
      </w:pPr>
      <w:r>
        <w:rPr/>
        <w:t>Lagane et al. (2000) addressed pharmacological challenges, noting lipid composition effects on opioid receptor binding in yeast. Leplatois et al. (2001) coupled the human neurotensin receptor NT1 using Gpa1 chimeras. A major advance came with Miret et al. (2002), who reconstituted multi-component receptors like CRLR with RAMPs, forming functional CGRP or adrenomedullin receptors and confirming pharmacology via yeast assays.</w:t>
      </w:r>
    </w:p>
    <w:p>
      <w:pPr>
        <w:pStyle w:val="Normal"/>
        <w:bidi w:val="0"/>
        <w:jc w:val="start"/>
        <w:rPr/>
      </w:pPr>
      <w:r>
        <w:rPr/>
      </w:r>
    </w:p>
    <w:p>
      <w:pPr>
        <w:pStyle w:val="Normal"/>
        <w:bidi w:val="0"/>
        <w:jc w:val="start"/>
        <w:rPr/>
      </w:pPr>
      <w:r>
        <w:rPr/>
        <w:t>High-throughput screening (HTS) adaptations were described by Pausch (1997), who outlined liquid and solid-phase formats for ligand identification. Brown et al. (2000) and Berg et al. (2000) further miniaturized assays for automation, screening compound libraries efficiently.</w:t>
      </w:r>
    </w:p>
    <w:p>
      <w:pPr>
        <w:pStyle w:val="Normal"/>
        <w:bidi w:val="0"/>
        <w:jc w:val="start"/>
        <w:rPr/>
      </w:pPr>
      <w:r>
        <w:rPr/>
      </w:r>
    </w:p>
    <w:p>
      <w:pPr>
        <w:pStyle w:val="Normal"/>
        <w:bidi w:val="0"/>
        <w:jc w:val="start"/>
        <w:rPr/>
      </w:pPr>
      <w:r>
        <w:rPr/>
        <w:t>To implement HTS, prepare yeast strains with integrated reporters, seed microtiter plates, and add compounds; measure growth or β-galactosidase after incubation. These references provide protocols for scaling up, emphasizing yeast's cost-effectiveness.</w:t>
      </w:r>
    </w:p>
    <w:p>
      <w:pPr>
        <w:pStyle w:val="Normal"/>
        <w:bidi w:val="0"/>
        <w:jc w:val="start"/>
        <w:rPr/>
      </w:pPr>
      <w:r>
        <w:rPr/>
      </w:r>
    </w:p>
    <w:p>
      <w:pPr>
        <w:pStyle w:val="Normal"/>
        <w:bidi w:val="0"/>
        <w:jc w:val="start"/>
        <w:rPr/>
      </w:pPr>
      <w:r>
        <w:rPr/>
        <w:t>## Key Milestones and Comprehensive Reference Guide</w:t>
      </w:r>
    </w:p>
    <w:p>
      <w:pPr>
        <w:pStyle w:val="Normal"/>
        <w:bidi w:val="0"/>
        <w:jc w:val="start"/>
        <w:rPr/>
      </w:pPr>
      <w:r>
        <w:rPr/>
      </w:r>
    </w:p>
    <w:p>
      <w:pPr>
        <w:pStyle w:val="Normal"/>
        <w:bidi w:val="0"/>
        <w:jc w:val="start"/>
        <w:rPr/>
      </w:pPr>
      <w:r>
        <w:rPr/>
        <w:t>Milestones include: 1987-1990 (pathway elucidation); 1990 (first mammalian GPCR expressions); 1993-1996 (chimera developments); 1999-2002 (diverse couplings and complex reconstitutions). For in-depth study, consult:</w:t>
      </w:r>
    </w:p>
    <w:p>
      <w:pPr>
        <w:pStyle w:val="Normal"/>
        <w:bidi w:val="0"/>
        <w:jc w:val="start"/>
        <w:rPr/>
      </w:pPr>
      <w:r>
        <w:rPr/>
      </w:r>
    </w:p>
    <w:p>
      <w:pPr>
        <w:pStyle w:val="Normal"/>
        <w:bidi w:val="0"/>
        <w:jc w:val="start"/>
        <w:rPr/>
      </w:pPr>
      <w:r>
        <w:rPr/>
        <w:t>- Miyajima et al. (1987): Cell 50:1011–1019.</w:t>
      </w:r>
    </w:p>
    <w:p>
      <w:pPr>
        <w:pStyle w:val="Normal"/>
        <w:bidi w:val="0"/>
        <w:jc w:val="start"/>
        <w:rPr/>
      </w:pPr>
      <w:r>
        <w:rPr/>
        <w:t>- Nomoto et al. (1990): EMBO J. 9:691–696.</w:t>
      </w:r>
    </w:p>
    <w:p>
      <w:pPr>
        <w:pStyle w:val="Normal"/>
        <w:bidi w:val="0"/>
        <w:jc w:val="start"/>
        <w:rPr/>
      </w:pPr>
      <w:r>
        <w:rPr/>
        <w:t>- King et al. (1990): Science 250:121–123.</w:t>
      </w:r>
    </w:p>
    <w:p>
      <w:pPr>
        <w:pStyle w:val="Normal"/>
        <w:bidi w:val="0"/>
        <w:jc w:val="start"/>
        <w:rPr/>
      </w:pPr>
      <w:r>
        <w:rPr/>
        <w:t>- Kang et al. (1990): Mol. Cell Biol. 10:2582–2590.</w:t>
      </w:r>
    </w:p>
    <w:p>
      <w:pPr>
        <w:pStyle w:val="Normal"/>
        <w:bidi w:val="0"/>
        <w:jc w:val="start"/>
        <w:rPr/>
      </w:pPr>
      <w:r>
        <w:rPr/>
        <w:t>- Conklin et al. (1993): Nature 363:274–276.</w:t>
      </w:r>
    </w:p>
    <w:p>
      <w:pPr>
        <w:pStyle w:val="Normal"/>
        <w:bidi w:val="0"/>
        <w:jc w:val="start"/>
        <w:rPr/>
      </w:pPr>
      <w:r>
        <w:rPr/>
        <w:t>- Price et al. (1995): Mol. Cell Biol. 15:6188–6195; (1996): Mol. Pharmacol. 50:829–837.</w:t>
      </w:r>
    </w:p>
    <w:p>
      <w:pPr>
        <w:pStyle w:val="Normal"/>
        <w:bidi w:val="0"/>
        <w:jc w:val="start"/>
        <w:rPr/>
      </w:pPr>
      <w:r>
        <w:rPr/>
        <w:t>- Manfredi et al. (1996): Mol. Cell Biol. 16:4700–4709.</w:t>
      </w:r>
    </w:p>
    <w:p>
      <w:pPr>
        <w:pStyle w:val="Normal"/>
        <w:bidi w:val="0"/>
        <w:jc w:val="start"/>
        <w:rPr/>
      </w:pPr>
      <w:r>
        <w:rPr/>
        <w:t>- Pausch (1997): Trends Biotechnol. 15:487–494.</w:t>
      </w:r>
    </w:p>
    <w:p>
      <w:pPr>
        <w:pStyle w:val="Normal"/>
        <w:bidi w:val="0"/>
        <w:jc w:val="start"/>
        <w:rPr/>
      </w:pPr>
      <w:r>
        <w:rPr/>
        <w:t>- Klein et al. (1998): Nature Biotech. 16:1334–1337.</w:t>
      </w:r>
    </w:p>
    <w:p>
      <w:pPr>
        <w:pStyle w:val="Normal"/>
        <w:bidi w:val="0"/>
        <w:jc w:val="start"/>
        <w:rPr/>
      </w:pPr>
      <w:r>
        <w:rPr/>
        <w:t>- Baranski et al. (1999): J. Biol. Chem. 274:15757–15765.</w:t>
      </w:r>
    </w:p>
    <w:p>
      <w:pPr>
        <w:pStyle w:val="Normal"/>
        <w:bidi w:val="0"/>
        <w:jc w:val="start"/>
        <w:rPr/>
      </w:pPr>
      <w:r>
        <w:rPr/>
        <w:t>- Olesnicky et al. (1999): EMBO J. 18:2756–2763; (2000): Genetics 156:1025–1033.</w:t>
      </w:r>
    </w:p>
    <w:p>
      <w:pPr>
        <w:pStyle w:val="Normal"/>
        <w:bidi w:val="0"/>
        <w:jc w:val="start"/>
        <w:rPr/>
      </w:pPr>
      <w:r>
        <w:rPr/>
        <w:t>- Fowler et al. (1999): Mol. Biol. Cell 10:2559–2572.</w:t>
      </w:r>
    </w:p>
    <w:p>
      <w:pPr>
        <w:pStyle w:val="Normal"/>
        <w:bidi w:val="0"/>
        <w:jc w:val="start"/>
        <w:rPr/>
      </w:pPr>
      <w:r>
        <w:rPr/>
        <w:t>- Hegner et al. (1999): Fungal. Genet. Biol. 26:190–197.</w:t>
      </w:r>
    </w:p>
    <w:p>
      <w:pPr>
        <w:pStyle w:val="Normal"/>
        <w:bidi w:val="0"/>
        <w:jc w:val="start"/>
        <w:rPr/>
      </w:pPr>
      <w:r>
        <w:rPr/>
        <w:t>- Lagane et al. (2000): J. Biol. Chem. 275:33197–33200.</w:t>
      </w:r>
    </w:p>
    <w:p>
      <w:pPr>
        <w:pStyle w:val="Normal"/>
        <w:bidi w:val="0"/>
        <w:jc w:val="start"/>
        <w:rPr/>
      </w:pPr>
      <w:r>
        <w:rPr/>
        <w:t>- Brown et al. (2000): Yeast 16:11–22.</w:t>
      </w:r>
    </w:p>
    <w:p>
      <w:pPr>
        <w:pStyle w:val="Normal"/>
        <w:bidi w:val="0"/>
        <w:jc w:val="start"/>
        <w:rPr/>
      </w:pPr>
      <w:r>
        <w:rPr/>
        <w:t>- Berg et al. (2000): J.</w:t>
      </w:r>
    </w:p>
    <w:p>
      <w:pPr>
        <w:pStyle w:val="Normal"/>
        <w:bidi w:val="0"/>
        <w:jc w:val="start"/>
        <w:rPr/>
      </w:pPr>
      <w:r>
        <w:rPr/>
      </w:r>
    </w:p>
    <w:p>
      <w:pPr>
        <w:pStyle w:val="Normal"/>
        <w:bidi w:val="0"/>
        <w:jc w:val="start"/>
        <w:rPr/>
      </w:pPr>
      <w:r>
        <w:rPr/>
        <w:t># Section 5: The Yeast Pheromone-Response Pathway and Its Adaptation for GPCRs</w:t>
      </w:r>
    </w:p>
    <w:p>
      <w:pPr>
        <w:pStyle w:val="Normal"/>
        <w:bidi w:val="0"/>
        <w:jc w:val="start"/>
        <w:rPr/>
      </w:pPr>
      <w:r>
        <w:rPr/>
      </w:r>
    </w:p>
    <w:p>
      <w:pPr>
        <w:pStyle w:val="Normal"/>
        <w:bidi w:val="0"/>
        <w:jc w:val="start"/>
        <w:rPr/>
      </w:pPr>
      <w:r>
        <w:rPr/>
        <w:t>## Overview of the Native Yeast Pheromone-Response Pathway</w:t>
      </w:r>
    </w:p>
    <w:p>
      <w:pPr>
        <w:pStyle w:val="Normal"/>
        <w:bidi w:val="0"/>
        <w:jc w:val="start"/>
        <w:rPr/>
      </w:pPr>
      <w:r>
        <w:rPr/>
      </w:r>
    </w:p>
    <w:p>
      <w:pPr>
        <w:pStyle w:val="Normal"/>
        <w:bidi w:val="0"/>
        <w:jc w:val="start"/>
        <w:rPr/>
      </w:pPr>
      <w:r>
        <w:rPr/>
        <w:t>The yeast pheromone-response pathway in *Saccharomyces cerevisiae* is a well-characterized G protein-mediated signaling system that regulates mating responses. This pathway serves as the foundation for adapting yeast as a model for heterologous G protein-coupled receptor (GPCR) studies. In native yeast, haploid cells of opposite mating types (a and α) secrete pheromones that bind to GPCRs on the opposing cell type: α-factor binds to Ste2 on a cells, and a-factor binds to Ste3 on α cells. This binding initiates a cascade leading to cell cycle arrest, morphological changes, and gene expression to facilitate mating.</w:t>
      </w:r>
    </w:p>
    <w:p>
      <w:pPr>
        <w:pStyle w:val="Normal"/>
        <w:bidi w:val="0"/>
        <w:jc w:val="start"/>
        <w:rPr/>
      </w:pPr>
      <w:r>
        <w:rPr/>
      </w:r>
    </w:p>
    <w:p>
      <w:pPr>
        <w:pStyle w:val="Normal"/>
        <w:bidi w:val="0"/>
        <w:jc w:val="start"/>
        <w:rPr/>
      </w:pPr>
      <w:r>
        <w:rPr/>
        <w:t>The pathway's core involves a heterotrimeric G protein: Gpa1 (Gα subunit) and Ste4/Ste18 (Gβγ subunits). Upon pheromone binding, the GPCR promotes GDP-to-GTP exchange on Gpa1, causing dissociation of Gα-GTP from Gβγ. The free Gβγ then activates a mitogen-activated protein (MAP) kinase cascade, including Ste11 (MAPKKK), Ste7 (MAPKK), and Fus3 (MAPK). This culminates in the activation of transcription factors like Ste12, which drive expression of mating-specific genes under promoters such as FUS1. Studies like Miyajima et al. (1987) and Nomoto et al. (1990) detailed these components, showing how the pathway leads to responses measurable via reporter genes or growth assays.</w:t>
      </w:r>
    </w:p>
    <w:p>
      <w:pPr>
        <w:pStyle w:val="Normal"/>
        <w:bidi w:val="0"/>
        <w:jc w:val="start"/>
        <w:rPr/>
      </w:pPr>
      <w:r>
        <w:rPr/>
      </w:r>
    </w:p>
    <w:p>
      <w:pPr>
        <w:pStyle w:val="Normal"/>
        <w:bidi w:val="0"/>
        <w:jc w:val="start"/>
        <w:rPr/>
      </w:pPr>
      <w:r>
        <w:rPr/>
        <w:t>For instructional purposes, understand that this pathway mimics mammalian GPCR signaling but in a simpler eukaryotic context, making it ideal for engineering. Key readouts include β-galactosidase (lacZ) expression from FUS1-lacZ fusions or growth on selective media lacking histidine (using HIS3 reporters).</w:t>
      </w:r>
    </w:p>
    <w:p>
      <w:pPr>
        <w:pStyle w:val="Normal"/>
        <w:bidi w:val="0"/>
        <w:jc w:val="start"/>
        <w:rPr/>
      </w:pPr>
      <w:r>
        <w:rPr/>
      </w:r>
    </w:p>
    <w:p>
      <w:pPr>
        <w:pStyle w:val="Normal"/>
        <w:bidi w:val="0"/>
        <w:jc w:val="start"/>
        <w:rPr/>
      </w:pPr>
      <w:r>
        <w:rPr/>
        <w:t>## Key Components and Their Roles in Signal Transduction</w:t>
      </w:r>
    </w:p>
    <w:p>
      <w:pPr>
        <w:pStyle w:val="Normal"/>
        <w:bidi w:val="0"/>
        <w:jc w:val="start"/>
        <w:rPr/>
      </w:pPr>
      <w:r>
        <w:rPr/>
      </w:r>
    </w:p>
    <w:p>
      <w:pPr>
        <w:pStyle w:val="Normal"/>
        <w:bidi w:val="0"/>
        <w:jc w:val="start"/>
        <w:rPr/>
      </w:pPr>
      <w:r>
        <w:rPr/>
        <w:t>- **Receptors (Ste2 and Ste3)**: Seven-transmembrane proteins that detect pheromones. They interact with the G protein to initiate signaling.</w:t>
      </w:r>
    </w:p>
    <w:p>
      <w:pPr>
        <w:pStyle w:val="Normal"/>
        <w:bidi w:val="0"/>
        <w:jc w:val="start"/>
        <w:rPr/>
      </w:pPr>
      <w:r>
        <w:rPr/>
      </w:r>
    </w:p>
    <w:p>
      <w:pPr>
        <w:pStyle w:val="Normal"/>
        <w:bidi w:val="0"/>
        <w:jc w:val="start"/>
        <w:rPr/>
      </w:pPr>
      <w:r>
        <w:rPr/>
        <w:t>- **G Proteins**: Gpa1 binds GTP and inhibits signaling in its active form; Ste4/Ste18, upon release, recruit Ste5 scaffold protein to activate the MAP kinase module.</w:t>
      </w:r>
    </w:p>
    <w:p>
      <w:pPr>
        <w:pStyle w:val="Normal"/>
        <w:bidi w:val="0"/>
        <w:jc w:val="start"/>
        <w:rPr/>
      </w:pPr>
      <w:r>
        <w:rPr/>
      </w:r>
    </w:p>
    <w:p>
      <w:pPr>
        <w:pStyle w:val="Normal"/>
        <w:bidi w:val="0"/>
        <w:jc w:val="start"/>
        <w:rPr/>
      </w:pPr>
      <w:r>
        <w:rPr/>
        <w:t>- **MAP Kinase Cascade**: Transduces the signal from membrane to nucleus. Fus3 phosphorylates targets, including Far1 (causing cell cycle arrest) and Dig1/Dig2 (regulating Ste12).</w:t>
      </w:r>
    </w:p>
    <w:p>
      <w:pPr>
        <w:pStyle w:val="Normal"/>
        <w:bidi w:val="0"/>
        <w:jc w:val="start"/>
        <w:rPr/>
      </w:pPr>
      <w:r>
        <w:rPr/>
      </w:r>
    </w:p>
    <w:p>
      <w:pPr>
        <w:pStyle w:val="Normal"/>
        <w:bidi w:val="0"/>
        <w:jc w:val="start"/>
        <w:rPr/>
      </w:pPr>
      <w:r>
        <w:rPr/>
        <w:t>- **Transcriptional Response**: Activated Ste12 binds pheromone response elements, inducing genes for mating projection formation and fusion.</w:t>
      </w:r>
    </w:p>
    <w:p>
      <w:pPr>
        <w:pStyle w:val="Normal"/>
        <w:bidi w:val="0"/>
        <w:jc w:val="start"/>
        <w:rPr/>
      </w:pPr>
      <w:r>
        <w:rPr/>
      </w:r>
    </w:p>
    <w:p>
      <w:pPr>
        <w:pStyle w:val="Normal"/>
        <w:bidi w:val="0"/>
        <w:jc w:val="start"/>
        <w:rPr/>
      </w:pPr>
      <w:r>
        <w:rPr/>
        <w:t>Structural insights from Lambright et al. (1996) and Wall et al. (1995) on G protein heterotrimers highlight interaction sites, such as switch domains in Gα, which are crucial for engineering adaptations.</w:t>
      </w:r>
    </w:p>
    <w:p>
      <w:pPr>
        <w:pStyle w:val="Normal"/>
        <w:bidi w:val="0"/>
        <w:jc w:val="start"/>
        <w:rPr/>
      </w:pPr>
      <w:r>
        <w:rPr/>
      </w:r>
    </w:p>
    <w:p>
      <w:pPr>
        <w:pStyle w:val="Normal"/>
        <w:bidi w:val="0"/>
        <w:jc w:val="start"/>
        <w:rPr/>
      </w:pPr>
      <w:r>
        <w:rPr/>
        <w:t>Practically, to study this pathway, culture yeast strains in selective media (e.g., YEPD or synthetic dropout media) and expose to pheromones. Measure activation via halo assays (growth inhibition zones on agar) or quantitative β-galactosidase assays using ONPG substrate, as described in foundational references.</w:t>
      </w:r>
    </w:p>
    <w:p>
      <w:pPr>
        <w:pStyle w:val="Normal"/>
        <w:bidi w:val="0"/>
        <w:jc w:val="start"/>
        <w:rPr/>
      </w:pPr>
      <w:r>
        <w:rPr/>
      </w:r>
    </w:p>
    <w:p>
      <w:pPr>
        <w:pStyle w:val="Normal"/>
        <w:bidi w:val="0"/>
        <w:jc w:val="start"/>
        <w:rPr/>
      </w:pPr>
      <w:r>
        <w:rPr/>
        <w:t>## Adapting the Pathway for Heterologous GPCRs</w:t>
      </w:r>
    </w:p>
    <w:p>
      <w:pPr>
        <w:pStyle w:val="Normal"/>
        <w:bidi w:val="0"/>
        <w:jc w:val="start"/>
        <w:rPr/>
      </w:pPr>
      <w:r>
        <w:rPr/>
      </w:r>
    </w:p>
    <w:p>
      <w:pPr>
        <w:pStyle w:val="Normal"/>
        <w:bidi w:val="0"/>
        <w:jc w:val="start"/>
        <w:rPr/>
      </w:pPr>
      <w:r>
        <w:rPr/>
        <w:t>To use this pathway for non-native GPCRs, engineers replace Ste2 or Ste3 with heterologous receptors and modify G proteins for compatibility. The goal is to couple foreign GPCRs (e.g., mammalian or fungal) to the yeast MAP kinase cascade for ligand detection.</w:t>
      </w:r>
    </w:p>
    <w:p>
      <w:pPr>
        <w:pStyle w:val="Normal"/>
        <w:bidi w:val="0"/>
        <w:jc w:val="start"/>
        <w:rPr/>
      </w:pPr>
      <w:r>
        <w:rPr/>
      </w:r>
    </w:p>
    <w:p>
      <w:pPr>
        <w:pStyle w:val="Normal"/>
        <w:bidi w:val="0"/>
        <w:jc w:val="start"/>
        <w:rPr/>
      </w:pPr>
      <w:r>
        <w:rPr/>
        <w:t>- **Deletion of Native Receptors**: Use ste2Δ or ste3Δ strains to eliminate endogenous signaling, preventing interference. Integrate the heterologous GPCR gene under promoters like PGK1, ADH1, or GPD3 for stable expression.</w:t>
      </w:r>
    </w:p>
    <w:p>
      <w:pPr>
        <w:pStyle w:val="Normal"/>
        <w:bidi w:val="0"/>
        <w:jc w:val="start"/>
        <w:rPr/>
      </w:pPr>
      <w:r>
        <w:rPr/>
      </w:r>
    </w:p>
    <w:p>
      <w:pPr>
        <w:pStyle w:val="Normal"/>
        <w:bidi w:val="0"/>
        <w:jc w:val="start"/>
        <w:rPr/>
      </w:pPr>
      <w:r>
        <w:rPr/>
        <w:t>- **G Protein Engineering**: Native Gpa1 often couples poorly to mammalian GPCRs due to specificity differences. Create chimeras: Kang-type (fusing Gpa1 N-terminus with mammalian Gα C-terminus, e.g., Gpa1/Gαi2) or transplant types (replacing Gpa1 C-terminal five amino acids with mammalian sequences). Examples include Gpa1/Gα16 for fungal receptors like Rcb1 from *Coprinus cinereus* (Olesnicky et al. 1999, 2000).</w:t>
      </w:r>
    </w:p>
    <w:p>
      <w:pPr>
        <w:pStyle w:val="Normal"/>
        <w:bidi w:val="0"/>
        <w:jc w:val="start"/>
        <w:rPr/>
      </w:pPr>
      <w:r>
        <w:rPr/>
      </w:r>
    </w:p>
    <w:p>
      <w:pPr>
        <w:pStyle w:val="Normal"/>
        <w:bidi w:val="0"/>
        <w:jc w:val="start"/>
        <w:rPr/>
      </w:pPr>
      <w:r>
        <w:rPr/>
        <w:t>- **Reporter Integration**: Insert reporters like FUS1-lacZ or FUS1-HIS3 to detect activation. Ligand binding to the heterologous GPCR releases Gβγ, activating the cascade and reporter expression.</w:t>
      </w:r>
    </w:p>
    <w:p>
      <w:pPr>
        <w:pStyle w:val="Normal"/>
        <w:bidi w:val="0"/>
        <w:jc w:val="start"/>
        <w:rPr/>
      </w:pPr>
      <w:r>
        <w:rPr/>
      </w:r>
    </w:p>
    <w:p>
      <w:pPr>
        <w:pStyle w:val="Normal"/>
        <w:bidi w:val="0"/>
        <w:jc w:val="start"/>
        <w:rPr/>
      </w:pPr>
      <w:r>
        <w:rPr/>
        <w:t>Successful adaptations include coupling human neurotensin receptor NT1 via Gpa1 (Leplatois et al. 2001) and reconstituting CRLR with RAMPs using rat Gαs D229S chimeras (Miret et al. 2002). For fungal examples, *Schizophyllum commune* receptors Bbr1/2 couple via Gpa1 under PGK1 (Fowler et al. 1999) or MET25 promoters (Hegner et al. 1999).</w:t>
      </w:r>
    </w:p>
    <w:p>
      <w:pPr>
        <w:pStyle w:val="Normal"/>
        <w:bidi w:val="0"/>
        <w:jc w:val="start"/>
        <w:rPr/>
      </w:pPr>
      <w:r>
        <w:rPr/>
      </w:r>
    </w:p>
    <w:p>
      <w:pPr>
        <w:pStyle w:val="Normal"/>
        <w:bidi w:val="0"/>
        <w:jc w:val="start"/>
        <w:rPr/>
      </w:pPr>
      <w:r>
        <w:rPr/>
        <w:t>## Step-by-Step Procedures for Adaptation</w:t>
      </w:r>
    </w:p>
    <w:p>
      <w:pPr>
        <w:pStyle w:val="Normal"/>
        <w:bidi w:val="0"/>
        <w:jc w:val="start"/>
        <w:rPr/>
      </w:pPr>
      <w:r>
        <w:rPr/>
      </w:r>
    </w:p>
    <w:p>
      <w:pPr>
        <w:pStyle w:val="Normal"/>
        <w:bidi w:val="0"/>
        <w:jc w:val="start"/>
        <w:rPr/>
      </w:pPr>
      <w:r>
        <w:rPr/>
        <w:t>1. **Strain Preparation**: Select a base strain (e.g., with far1Δ to prevent arrest, enhancing growth readouts). Transform with plasmids containing the GPCR under a chosen promoter.</w:t>
      </w:r>
    </w:p>
    <w:p>
      <w:pPr>
        <w:pStyle w:val="Normal"/>
        <w:bidi w:val="0"/>
        <w:jc w:val="start"/>
        <w:rPr/>
      </w:pPr>
      <w:r>
        <w:rPr/>
      </w:r>
    </w:p>
    <w:p>
      <w:pPr>
        <w:pStyle w:val="Normal"/>
        <w:bidi w:val="0"/>
        <w:jc w:val="start"/>
        <w:rPr/>
      </w:pPr>
      <w:r>
        <w:rPr/>
        <w:t>2. **G Protein Chimera Integration**: Clone chimeras (e.g., via PCR fusion at sites like BamHI) and integrate into the genome or express episomally.</w:t>
      </w:r>
    </w:p>
    <w:p>
      <w:pPr>
        <w:pStyle w:val="Normal"/>
        <w:bidi w:val="0"/>
        <w:jc w:val="start"/>
        <w:rPr/>
      </w:pPr>
      <w:r>
        <w:rPr/>
      </w:r>
    </w:p>
    <w:p>
      <w:pPr>
        <w:pStyle w:val="Normal"/>
        <w:bidi w:val="0"/>
        <w:jc w:val="start"/>
        <w:rPr/>
      </w:pPr>
      <w:r>
        <w:rPr/>
        <w:t>3. **Verification**: Add known ligands and assay reporter activity. Use dose-response curves to confirm coupling efficiency.</w:t>
      </w:r>
    </w:p>
    <w:p>
      <w:pPr>
        <w:pStyle w:val="Normal"/>
        <w:bidi w:val="0"/>
        <w:jc w:val="start"/>
        <w:rPr/>
      </w:pPr>
      <w:r>
        <w:rPr/>
      </w:r>
    </w:p>
    <w:p>
      <w:pPr>
        <w:pStyle w:val="Normal"/>
        <w:bidi w:val="0"/>
        <w:jc w:val="start"/>
        <w:rPr/>
      </w:pPr>
      <w:r>
        <w:rPr/>
        <w:t>4. **Optimization**: If coupling fails, test alternative chimeras or mutate specificity residues (e.g., Asp229 to Ser in Gαs).</w:t>
      </w:r>
    </w:p>
    <w:p>
      <w:pPr>
        <w:pStyle w:val="Normal"/>
        <w:bidi w:val="0"/>
        <w:jc w:val="start"/>
        <w:rPr/>
      </w:pPr>
      <w:r>
        <w:rPr/>
      </w:r>
    </w:p>
    <w:p>
      <w:pPr>
        <w:pStyle w:val="Normal"/>
        <w:bidi w:val="0"/>
        <w:jc w:val="start"/>
        <w:rPr/>
      </w:pPr>
      <w:r>
        <w:rPr/>
        <w:t>## Challenges and Practical Guidance</w:t>
      </w:r>
    </w:p>
    <w:p>
      <w:pPr>
        <w:pStyle w:val="Normal"/>
        <w:bidi w:val="0"/>
        <w:jc w:val="start"/>
        <w:rPr/>
      </w:pPr>
      <w:r>
        <w:rPr/>
      </w:r>
    </w:p>
    <w:p>
      <w:pPr>
        <w:pStyle w:val="Normal"/>
        <w:bidi w:val="0"/>
        <w:jc w:val="start"/>
        <w:rPr/>
      </w:pPr>
      <w:r>
        <w:rPr/>
        <w:t>Challenges include poor coupling due to lipid differences (Lagane et al. 2000) or missing accessory proteins (Milligan and White 2001). Troubleshoot by co-expressing proteins like RAMPs for complex receptors. Maintain strains at 30°C, use fresh transformations to avoid plasmid loss, and scale for HTS by miniaturizing in 96- or 384-well plates (Pausch 1997; Brown et al. 2000).</w:t>
      </w:r>
    </w:p>
    <w:p>
      <w:pPr>
        <w:pStyle w:val="Normal"/>
        <w:bidi w:val="0"/>
        <w:jc w:val="start"/>
        <w:rPr/>
      </w:pPr>
      <w:r>
        <w:rPr/>
      </w:r>
    </w:p>
    <w:p>
      <w:pPr>
        <w:pStyle w:val="Normal"/>
        <w:bidi w:val="0"/>
        <w:jc w:val="start"/>
        <w:rPr/>
      </w:pPr>
      <w:r>
        <w:rPr/>
        <w:t>This adaptation leverages yeast's simplicity for functional GPCR assays, enabling ligand screening and mechanistic studies.</w:t>
      </w:r>
    </w:p>
    <w:p>
      <w:pPr>
        <w:pStyle w:val="Normal"/>
        <w:bidi w:val="0"/>
        <w:jc w:val="start"/>
        <w:rPr/>
      </w:pPr>
      <w:r>
        <w:rPr/>
      </w:r>
    </w:p>
    <w:p>
      <w:pPr>
        <w:pStyle w:val="Normal"/>
        <w:bidi w:val="0"/>
        <w:jc w:val="start"/>
        <w:rPr/>
      </w:pPr>
      <w:r>
        <w:rPr/>
        <w:t>(Word count: 698)</w:t>
      </w:r>
    </w:p>
    <w:p>
      <w:pPr>
        <w:pStyle w:val="Normal"/>
        <w:bidi w:val="0"/>
        <w:jc w:val="start"/>
        <w:rPr/>
      </w:pPr>
      <w:r>
        <w:rPr/>
      </w:r>
    </w:p>
    <w:p>
      <w:pPr>
        <w:pStyle w:val="Normal"/>
        <w:bidi w:val="0"/>
        <w:jc w:val="start"/>
        <w:rPr/>
      </w:pPr>
      <w:r>
        <w:rPr/>
        <w:t># Section 6: Engineering G Protein Chimeras: Kang-Type and Cadus-Type</w:t>
      </w:r>
    </w:p>
    <w:p>
      <w:pPr>
        <w:pStyle w:val="Normal"/>
        <w:bidi w:val="0"/>
        <w:jc w:val="start"/>
        <w:rPr/>
      </w:pPr>
      <w:r>
        <w:rPr/>
      </w:r>
    </w:p>
    <w:p>
      <w:pPr>
        <w:pStyle w:val="Normal"/>
        <w:bidi w:val="0"/>
        <w:jc w:val="start"/>
        <w:rPr/>
      </w:pPr>
      <w:r>
        <w:rPr/>
        <w:t>## Introduction to G Protein Chimeras in Yeast Systems</w:t>
      </w:r>
    </w:p>
    <w:p>
      <w:pPr>
        <w:pStyle w:val="Normal"/>
        <w:bidi w:val="0"/>
        <w:jc w:val="start"/>
        <w:rPr/>
      </w:pPr>
      <w:r>
        <w:rPr/>
      </w:r>
    </w:p>
    <w:p>
      <w:pPr>
        <w:pStyle w:val="Normal"/>
        <w:bidi w:val="0"/>
        <w:jc w:val="start"/>
        <w:rPr/>
      </w:pPr>
      <w:r>
        <w:rPr/>
        <w:t>G protein chimeras are engineered hybrids that combine portions of yeast Gpa1 (Gα subunit) with mammalian Gα subunits to enable efficient coupling of heterologous G protein-coupled receptors (GPCRs) to the yeast pheromone-response pathway. These modifications address specificity mismatches between foreign GPCRs and native yeast G proteins, allowing ligand-induced activation to propagate through the MAP kinase cascade for detectable readouts like reporter gene expression. Two primary types—Kang-type and Cadus-type—differ in design and construction, with Kang-type using defined fusion points and Cadus-type incorporating randomized elements for broader optimization. These chimeras are essential for functional assays, as native Gpa1 often couples poorly to mammalian GPCRs due to differences in interaction domains, such as the C-terminal region.</w:t>
      </w:r>
    </w:p>
    <w:p>
      <w:pPr>
        <w:pStyle w:val="Normal"/>
        <w:bidi w:val="0"/>
        <w:jc w:val="start"/>
        <w:rPr/>
      </w:pPr>
      <w:r>
        <w:rPr/>
      </w:r>
    </w:p>
    <w:p>
      <w:pPr>
        <w:pStyle w:val="Normal"/>
        <w:bidi w:val="0"/>
        <w:jc w:val="start"/>
        <w:rPr/>
      </w:pPr>
      <w:r>
        <w:rPr/>
        <w:t>Chimeras are typically constructed via PCR-based cloning and expressed in yeast strains with deletions like ste2Δ or far1Δ to minimize background signaling. Selection depends on the GPCR: for example, Gpa1/Gαi2 chimeras suit certain fungal receptors, while variants with mutations (e.g., D229S) enhance mammalian couplings. Practical benefits include improved signal transduction for high-throughput screening (HTS) of agonists.</w:t>
      </w:r>
    </w:p>
    <w:p>
      <w:pPr>
        <w:pStyle w:val="Normal"/>
        <w:bidi w:val="0"/>
        <w:jc w:val="start"/>
        <w:rPr/>
      </w:pPr>
      <w:r>
        <w:rPr/>
      </w:r>
    </w:p>
    <w:p>
      <w:pPr>
        <w:pStyle w:val="Normal"/>
        <w:bidi w:val="0"/>
        <w:jc w:val="start"/>
        <w:rPr/>
      </w:pPr>
      <w:r>
        <w:rPr/>
        <w:t>## Kang-Type Chimeras: Design and Construction</w:t>
      </w:r>
    </w:p>
    <w:p>
      <w:pPr>
        <w:pStyle w:val="Normal"/>
        <w:bidi w:val="0"/>
        <w:jc w:val="start"/>
        <w:rPr/>
      </w:pPr>
      <w:r>
        <w:rPr/>
      </w:r>
    </w:p>
    <w:p>
      <w:pPr>
        <w:pStyle w:val="Normal"/>
        <w:bidi w:val="0"/>
        <w:jc w:val="start"/>
        <w:rPr/>
      </w:pPr>
      <w:r>
        <w:rPr/>
        <w:t>Kang-type chimeras, named after foundational work by Kang et al. (1990), fuse the N-terminal portion of yeast Gpa1 with the C-terminal region of a mammalian Gα subunit, such as Gαi or Gαs. This design preserves yeast-specific interactions with Gβγ (Ste4/Ste18) while incorporating mammalian receptor-contact sites. A common fusion site is at a BamHI restriction enzyme sequence, facilitating cloning. Price et al. (1995, 1996) refined this approach, demonstrating effective coupling for receptors like the A1 adenosine receptor, where the chimera enables robust activation measured by β-galactosidase assays.</w:t>
      </w:r>
    </w:p>
    <w:p>
      <w:pPr>
        <w:pStyle w:val="Normal"/>
        <w:bidi w:val="0"/>
        <w:jc w:val="start"/>
        <w:rPr/>
      </w:pPr>
      <w:r>
        <w:rPr/>
      </w:r>
    </w:p>
    <w:p>
      <w:pPr>
        <w:pStyle w:val="Normal"/>
        <w:bidi w:val="0"/>
        <w:jc w:val="start"/>
        <w:rPr/>
      </w:pPr>
      <w:r>
        <w:rPr/>
        <w:t>### Step-by-Step Construction Protocol</w:t>
      </w:r>
    </w:p>
    <w:p>
      <w:pPr>
        <w:pStyle w:val="Normal"/>
        <w:bidi w:val="0"/>
        <w:jc w:val="start"/>
        <w:rPr/>
      </w:pPr>
      <w:r>
        <w:rPr/>
        <w:t>1. **Amplify Fragments**: Use PCR to generate the N-terminal Gpa1 fragment (up to the BamHI site) and the C-terminal mammalian Gα fragment (from the equivalent site onward). Primers should include overlapping sequences for fusion.</w:t>
      </w:r>
    </w:p>
    <w:p>
      <w:pPr>
        <w:pStyle w:val="Normal"/>
        <w:bidi w:val="0"/>
        <w:jc w:val="start"/>
        <w:rPr/>
      </w:pPr>
      <w:r>
        <w:rPr/>
        <w:t>2. **Fusion PCR**: Combine fragments in a second PCR round to create the chimeric gene. Include restriction sites for cloning into yeast vectors like those with PGK1 promoters.</w:t>
      </w:r>
    </w:p>
    <w:p>
      <w:pPr>
        <w:pStyle w:val="Normal"/>
        <w:bidi w:val="0"/>
        <w:jc w:val="start"/>
        <w:rPr/>
      </w:pPr>
      <w:r>
        <w:rPr/>
        <w:t>3. **Cloning and Transformation**: Insert the chimera into a plasmid (e.g., integrating or episomal) and transform into yeast via lithium acetate methods. Select transformants on dropout media.</w:t>
      </w:r>
    </w:p>
    <w:p>
      <w:pPr>
        <w:pStyle w:val="Normal"/>
        <w:bidi w:val="0"/>
        <w:jc w:val="start"/>
        <w:rPr/>
      </w:pPr>
      <w:r>
        <w:rPr/>
        <w:t>4. **Verification**: Sequence the construct to confirm the fusion junction. Test functionality by co-expressing with a target GPCR and adding agonists; monitor reporter activity (e.g., lacZ).</w:t>
      </w:r>
    </w:p>
    <w:p>
      <w:pPr>
        <w:pStyle w:val="Normal"/>
        <w:bidi w:val="0"/>
        <w:jc w:val="start"/>
        <w:rPr/>
      </w:pPr>
      <w:r>
        <w:rPr/>
      </w:r>
    </w:p>
    <w:p>
      <w:pPr>
        <w:pStyle w:val="Normal"/>
        <w:bidi w:val="0"/>
        <w:jc w:val="start"/>
        <w:rPr/>
      </w:pPr>
      <w:r>
        <w:rPr/>
        <w:t>Applications include coupling human receptors like neurotensin NT1 (Leplatois et al. 2001). These chimeras are straightforward for labs with basic molecular biology tools, offering reliable coupling for Gαi- or Gαs-linked GPCRs.</w:t>
      </w:r>
    </w:p>
    <w:p>
      <w:pPr>
        <w:pStyle w:val="Normal"/>
        <w:bidi w:val="0"/>
        <w:jc w:val="start"/>
        <w:rPr/>
      </w:pPr>
      <w:r>
        <w:rPr/>
      </w:r>
    </w:p>
    <w:p>
      <w:pPr>
        <w:pStyle w:val="Normal"/>
        <w:bidi w:val="0"/>
        <w:jc w:val="start"/>
        <w:rPr/>
      </w:pPr>
      <w:r>
        <w:rPr/>
        <w:t>## Cadus-Type Chimeras: Design and Construction</w:t>
      </w:r>
    </w:p>
    <w:p>
      <w:pPr>
        <w:pStyle w:val="Normal"/>
        <w:bidi w:val="0"/>
        <w:jc w:val="start"/>
        <w:rPr/>
      </w:pPr>
      <w:r>
        <w:rPr/>
      </w:r>
    </w:p>
    <w:p>
      <w:pPr>
        <w:pStyle w:val="Normal"/>
        <w:bidi w:val="0"/>
        <w:jc w:val="start"/>
        <w:rPr/>
      </w:pPr>
      <w:r>
        <w:rPr/>
        <w:t>Cadus-type chimeras, developed by Manfredi et al. (1996) at Cadus Pharmaceuticals, extend the Kang approach by introducing random crossover points between Gpa1 and mammalian Gα sequences, often combined with mutations to optimize specificity. This method generates libraries of variants, screened for efficient coupling. For instance, chimeras between Gαi2 and Gαi3 with random junctions near switch domains (e.g., loops II and III) identify residues like Asp229 that restrict interactions; mutating to Ala230 can broaden compatibility (Baranski et al. 1999).</w:t>
      </w:r>
    </w:p>
    <w:p>
      <w:pPr>
        <w:pStyle w:val="Normal"/>
        <w:bidi w:val="0"/>
        <w:jc w:val="start"/>
        <w:rPr/>
      </w:pPr>
      <w:r>
        <w:rPr/>
      </w:r>
    </w:p>
    <w:p>
      <w:pPr>
        <w:pStyle w:val="Normal"/>
        <w:bidi w:val="0"/>
        <w:jc w:val="start"/>
        <w:rPr/>
      </w:pPr>
      <w:r>
        <w:rPr/>
        <w:t>These are particularly useful for challenging GPCRs, as seen in reconstituting CRLR with RAMPs using rat Gαs D229S variants (Miret et al. 2002). The randomized design allows tailoring to specific receptors, enhancing HTS utility.</w:t>
      </w:r>
    </w:p>
    <w:p>
      <w:pPr>
        <w:pStyle w:val="Normal"/>
        <w:bidi w:val="0"/>
        <w:jc w:val="start"/>
        <w:rPr/>
      </w:pPr>
      <w:r>
        <w:rPr/>
      </w:r>
    </w:p>
    <w:p>
      <w:pPr>
        <w:pStyle w:val="Normal"/>
        <w:bidi w:val="0"/>
        <w:jc w:val="start"/>
        <w:rPr/>
      </w:pPr>
      <w:r>
        <w:rPr/>
        <w:t>### Step-by-Step Construction Protocol</w:t>
      </w:r>
    </w:p>
    <w:p>
      <w:pPr>
        <w:pStyle w:val="Normal"/>
        <w:bidi w:val="0"/>
        <w:jc w:val="start"/>
        <w:rPr/>
      </w:pPr>
      <w:r>
        <w:rPr/>
        <w:t>1. **Library Generation**: Use error-prone PCR or shuffling to create random fusions between Gpa1 and mammalian Gα (e.g., Gαi3). Target regions like the BamHI-adjacent sequences for variability.</w:t>
      </w:r>
    </w:p>
    <w:p>
      <w:pPr>
        <w:pStyle w:val="Normal"/>
        <w:bidi w:val="0"/>
        <w:jc w:val="start"/>
        <w:rPr/>
      </w:pPr>
      <w:r>
        <w:rPr/>
        <w:t>2. **Cloning into Vectors**: Ligate variants into expression plasmids under promoters like ADH1. Transform into yeast and create a library of strains.</w:t>
      </w:r>
    </w:p>
    <w:p>
      <w:pPr>
        <w:pStyle w:val="Normal"/>
        <w:bidi w:val="0"/>
        <w:jc w:val="start"/>
        <w:rPr/>
      </w:pPr>
      <w:r>
        <w:rPr/>
        <w:t>3. **Screening**: Co-express with the GPCR and test subsets with agonists. Select chimeras showing high reporter induction (e.g., growth on histidine-deficient media).</w:t>
      </w:r>
    </w:p>
    <w:p>
      <w:pPr>
        <w:pStyle w:val="Normal"/>
        <w:bidi w:val="0"/>
        <w:jc w:val="start"/>
        <w:rPr/>
      </w:pPr>
      <w:r>
        <w:rPr/>
        <w:t>4. **Optimization**: Sequence top performers and refine mutations (e.g., D229S for Gαs) via site-directed mutagenesis.</w:t>
      </w:r>
    </w:p>
    <w:p>
      <w:pPr>
        <w:pStyle w:val="Normal"/>
        <w:bidi w:val="0"/>
        <w:jc w:val="start"/>
        <w:rPr/>
      </w:pPr>
      <w:r>
        <w:rPr/>
      </w:r>
    </w:p>
    <w:p>
      <w:pPr>
        <w:pStyle w:val="Normal"/>
        <w:bidi w:val="0"/>
        <w:jc w:val="start"/>
        <w:rPr/>
      </w:pPr>
      <w:r>
        <w:rPr/>
        <w:t>This approach suits complex screenings, as described by Klein et al. (1998) for orphan receptor ligand identification.</w:t>
      </w:r>
    </w:p>
    <w:p>
      <w:pPr>
        <w:pStyle w:val="Normal"/>
        <w:bidi w:val="0"/>
        <w:jc w:val="start"/>
        <w:rPr/>
      </w:pPr>
      <w:r>
        <w:rPr/>
      </w:r>
    </w:p>
    <w:p>
      <w:pPr>
        <w:pStyle w:val="Normal"/>
        <w:bidi w:val="0"/>
        <w:jc w:val="start"/>
        <w:rPr/>
      </w:pPr>
      <w:r>
        <w:rPr/>
        <w:t>## Key Differences and Selection Criteria</w:t>
      </w:r>
    </w:p>
    <w:p>
      <w:pPr>
        <w:pStyle w:val="Normal"/>
        <w:bidi w:val="0"/>
        <w:jc w:val="start"/>
        <w:rPr/>
      </w:pPr>
      <w:r>
        <w:rPr/>
      </w:r>
    </w:p>
    <w:p>
      <w:pPr>
        <w:pStyle w:val="Normal"/>
        <w:bidi w:val="0"/>
        <w:jc w:val="start"/>
        <w:rPr/>
      </w:pPr>
      <w:r>
        <w:rPr/>
        <w:t>Kang-type chimeras use fixed fusion points (e.g., BamHI), making them simpler and more reproducible but potentially less flexible for non-standard GPCRs. Cadus-type incorporate randomness and mutations, offering higher customization at the cost of initial screening effort. Choose Kang-type for well-characterized GPCRs (e.g., Gαi-linked) and Cadus-type for specificity issues, as with Gαi3 restrictions.</w:t>
      </w:r>
    </w:p>
    <w:p>
      <w:pPr>
        <w:pStyle w:val="Normal"/>
        <w:bidi w:val="0"/>
        <w:jc w:val="start"/>
        <w:rPr/>
      </w:pPr>
      <w:r>
        <w:rPr/>
      </w:r>
    </w:p>
    <w:p>
      <w:pPr>
        <w:pStyle w:val="Normal"/>
        <w:bidi w:val="0"/>
        <w:jc w:val="start"/>
        <w:rPr/>
      </w:pPr>
      <w:r>
        <w:rPr/>
        <w:t>## Troubleshooting and Practical Guidance</w:t>
      </w:r>
    </w:p>
    <w:p>
      <w:pPr>
        <w:pStyle w:val="Normal"/>
        <w:bidi w:val="0"/>
        <w:jc w:val="start"/>
        <w:rPr/>
      </w:pPr>
      <w:r>
        <w:rPr/>
      </w:r>
    </w:p>
    <w:p>
      <w:pPr>
        <w:pStyle w:val="Normal"/>
        <w:bidi w:val="0"/>
        <w:jc w:val="start"/>
        <w:rPr/>
      </w:pPr>
      <w:r>
        <w:rPr/>
        <w:t>Common issues include low coupling efficiency: Test multiple fusion points or mutations like D229S. Verify expression via Western blotting and ensure plasmid stability in selective media. For failures, combine with transplant variants (replacing only C-terminal five residues). Culture at 30°C to maintain viability, and scale for HTS by integrating into strains for liquid assays (Pausch 1997). These chimeras expand yeast's utility, enabling precise GPCR studies despite lipid or accessory protein challenges (Lagane et al. 2000; Milligan and White 2001).</w:t>
      </w:r>
    </w:p>
    <w:p>
      <w:pPr>
        <w:pStyle w:val="Normal"/>
        <w:bidi w:val="0"/>
        <w:jc w:val="start"/>
        <w:rPr/>
      </w:pPr>
      <w:r>
        <w:rPr/>
      </w:r>
    </w:p>
    <w:p>
      <w:pPr>
        <w:pStyle w:val="Normal"/>
        <w:bidi w:val="0"/>
        <w:jc w:val="start"/>
        <w:rPr/>
      </w:pPr>
      <w:r>
        <w:rPr/>
        <w:t>(Word count: 652)</w:t>
      </w:r>
    </w:p>
    <w:p>
      <w:pPr>
        <w:pStyle w:val="Normal"/>
        <w:bidi w:val="0"/>
        <w:jc w:val="start"/>
        <w:rPr/>
      </w:pPr>
      <w:r>
        <w:rPr/>
      </w:r>
    </w:p>
    <w:p>
      <w:pPr>
        <w:pStyle w:val="Normal"/>
        <w:bidi w:val="0"/>
        <w:jc w:val="start"/>
        <w:rPr/>
      </w:pPr>
      <w:r>
        <w:rPr/>
        <w:t># Section 7: Transplant Chimeras and Specificity Determinants in G Alpha Subunits</w:t>
      </w:r>
    </w:p>
    <w:p>
      <w:pPr>
        <w:pStyle w:val="Normal"/>
        <w:bidi w:val="0"/>
        <w:jc w:val="start"/>
        <w:rPr/>
      </w:pPr>
      <w:r>
        <w:rPr/>
      </w:r>
    </w:p>
    <w:p>
      <w:pPr>
        <w:pStyle w:val="Normal"/>
        <w:bidi w:val="0"/>
        <w:jc w:val="start"/>
        <w:rPr/>
      </w:pPr>
      <w:r>
        <w:rPr/>
        <w:t>## Introduction to Transplant Chimeras</w:t>
      </w:r>
    </w:p>
    <w:p>
      <w:pPr>
        <w:pStyle w:val="Normal"/>
        <w:bidi w:val="0"/>
        <w:jc w:val="start"/>
        <w:rPr/>
      </w:pPr>
      <w:r>
        <w:rPr/>
      </w:r>
    </w:p>
    <w:p>
      <w:pPr>
        <w:pStyle w:val="Normal"/>
        <w:bidi w:val="0"/>
        <w:jc w:val="start"/>
        <w:rPr/>
      </w:pPr>
      <w:r>
        <w:rPr/>
        <w:t>Transplant chimeras represent a specialized class of G protein modifications used in yeast systems to enhance coupling between heterologous G protein-coupled receptors (GPCRs) and the yeast pheromone-response pathway. Unlike broader fusions in Kang-type or Cadus-type chimeras, transplant chimeras involve replacing a small, specific region—typically the carboxy-terminal five amino acids—of the yeast Gα subunit Gpa1 with the corresponding sequence from a mammalian Gα subunit, such as Gαi2, Gαi3, or Gα16. This minimal alteration preserves most of the yeast Gpa1 structure while incorporating key mammalian residues that dictate receptor-G protein interaction specificity. The approach, pioneered by Conklin et al. (1993), addresses coupling inefficiencies by focusing on the C-terminal tail, a critical contact point for GPCRs, as revealed in structural studies like Lambright et al. (1996) and Wall et al. (1995).</w:t>
      </w:r>
    </w:p>
    <w:p>
      <w:pPr>
        <w:pStyle w:val="Normal"/>
        <w:bidi w:val="0"/>
        <w:jc w:val="start"/>
        <w:rPr/>
      </w:pPr>
      <w:r>
        <w:rPr/>
      </w:r>
    </w:p>
    <w:p>
      <w:pPr>
        <w:pStyle w:val="Normal"/>
        <w:bidi w:val="0"/>
        <w:jc w:val="start"/>
        <w:rPr/>
      </w:pPr>
      <w:r>
        <w:rPr/>
        <w:t>These chimeras are particularly effective for GPCRs that fail to couple via native Gpa1 or full fusions, offering a "plug-and-play" solution for functional assays. They are denoted as "TP" in compilations of coupled receptors, such as those for fungal GPCRs like Rcb1 and Rcb3 from Coprinus cinereus (Olesnicky et al. 1999, 2000). Transplant chimeras minimize disruptions to Gpa1's interactions with yeast Gβγ (Ste4/Ste18), making them suitable for diverse applications, including ligand screening and mechanistic studies.</w:t>
      </w:r>
    </w:p>
    <w:p>
      <w:pPr>
        <w:pStyle w:val="Normal"/>
        <w:bidi w:val="0"/>
        <w:jc w:val="start"/>
        <w:rPr/>
      </w:pPr>
      <w:r>
        <w:rPr/>
      </w:r>
    </w:p>
    <w:p>
      <w:pPr>
        <w:pStyle w:val="Normal"/>
        <w:bidi w:val="0"/>
        <w:jc w:val="start"/>
        <w:rPr/>
      </w:pPr>
      <w:r>
        <w:rPr/>
        <w:t>## Design Principles of Transplant Chimeras</w:t>
      </w:r>
    </w:p>
    <w:p>
      <w:pPr>
        <w:pStyle w:val="Normal"/>
        <w:bidi w:val="0"/>
        <w:jc w:val="start"/>
        <w:rPr/>
      </w:pPr>
      <w:r>
        <w:rPr/>
      </w:r>
    </w:p>
    <w:p>
      <w:pPr>
        <w:pStyle w:val="Normal"/>
        <w:bidi w:val="0"/>
        <w:jc w:val="start"/>
        <w:rPr/>
      </w:pPr>
      <w:r>
        <w:rPr/>
        <w:t>The design leverages insights from G protein crystal structures, where the C-terminal region of Gα forms part of the receptor-binding interface. By transplanting just the last five residues (e.g., from Gαi2 onto Gpa1), the chimera gains mammalian-like specificity without altering core yeast signaling. This is advantageous because Gpa1 naturally lacks certain restrictive elements found in mammalian Gα subunits, allowing broader coupling once modified.</w:t>
      </w:r>
    </w:p>
    <w:p>
      <w:pPr>
        <w:pStyle w:val="Normal"/>
        <w:bidi w:val="0"/>
        <w:jc w:val="start"/>
        <w:rPr/>
      </w:pPr>
      <w:r>
        <w:rPr/>
      </w:r>
    </w:p>
    <w:p>
      <w:pPr>
        <w:pStyle w:val="Normal"/>
        <w:bidi w:val="0"/>
        <w:jc w:val="start"/>
        <w:rPr/>
      </w:pPr>
      <w:r>
        <w:rPr/>
        <w:t>For example, transplant chimeras like Gpa1/Gαi2 (TP) have enabled coupling of fungal receptors such as Rcb3 under the GPD3 promoter (Olesnicky et al. 2000). Similarly, variants with Gα16 sequences support receptors like Rcb1 (Olesnicky et al. 1999). The convergence toward transplant types, as noted in reviews, stems from their efficiency and reduced need for extensive screening compared to randomized Cadus-type libraries.</w:t>
      </w:r>
    </w:p>
    <w:p>
      <w:pPr>
        <w:pStyle w:val="Normal"/>
        <w:bidi w:val="0"/>
        <w:jc w:val="start"/>
        <w:rPr/>
      </w:pPr>
      <w:r>
        <w:rPr/>
      </w:r>
    </w:p>
    <w:p>
      <w:pPr>
        <w:pStyle w:val="Normal"/>
        <w:bidi w:val="0"/>
        <w:jc w:val="start"/>
        <w:rPr/>
      </w:pPr>
      <w:r>
        <w:rPr/>
        <w:t>## Specificity Determinants in G Alpha Subunits</w:t>
      </w:r>
    </w:p>
    <w:p>
      <w:pPr>
        <w:pStyle w:val="Normal"/>
        <w:bidi w:val="0"/>
        <w:jc w:val="start"/>
        <w:rPr/>
      </w:pPr>
      <w:r>
        <w:rPr/>
      </w:r>
    </w:p>
    <w:p>
      <w:pPr>
        <w:pStyle w:val="Normal"/>
        <w:bidi w:val="0"/>
        <w:jc w:val="start"/>
        <w:rPr/>
      </w:pPr>
      <w:r>
        <w:rPr/>
        <w:t>Specificity in G protein coupling is governed by discrete amino acid residues within Gα subunits, particularly in regions influencing receptor contact. A key determinant is the residue between loops II and III of the switch domain, adjacent to the BamHI site. In Gαi2, this is alanine at position 230 (Ala230), while in Gαi3, it is aspartate at position 229 (Asp229). This single difference can restrict coupling; for instance, Asp229 in Gpa1/Gαi3 chimeras prevents efficient interaction with certain receptors like ML1B, but mutating it to alanine (D229A) restores coupling (Baranski et al. 1999).</w:t>
      </w:r>
    </w:p>
    <w:p>
      <w:pPr>
        <w:pStyle w:val="Normal"/>
        <w:bidi w:val="0"/>
        <w:jc w:val="start"/>
        <w:rPr/>
      </w:pPr>
      <w:r>
        <w:rPr/>
      </w:r>
    </w:p>
    <w:p>
      <w:pPr>
        <w:pStyle w:val="Normal"/>
        <w:bidi w:val="0"/>
        <w:jc w:val="start"/>
        <w:rPr/>
      </w:pPr>
      <w:r>
        <w:rPr/>
        <w:t>Structural modeling on the Gαβγ heterotrimer (Lambright et al. 1996; Wall et al. 1995) shows that Asp229 is buried beneath switch domain loops, likely affecting Gα conformation rather than direct receptor contact. Other Gα family members have glycine or glutamate at this position, suggesting broader relevance. Additional determinants include the amino-terminal region of Gα, which may influence interactions for receptors like PAR1 (Swift et al. 2000; Dratz et al. 1993). In transplants, these elements are preserved, but mutations like D229S in rat Gαs have been used for complex receptors such as CRLR with RAMPs (Miret et al. 2002).</w:t>
      </w:r>
    </w:p>
    <w:p>
      <w:pPr>
        <w:pStyle w:val="Normal"/>
        <w:bidi w:val="0"/>
        <w:jc w:val="start"/>
        <w:rPr/>
      </w:pPr>
      <w:r>
        <w:rPr/>
      </w:r>
    </w:p>
    <w:p>
      <w:pPr>
        <w:pStyle w:val="Normal"/>
        <w:bidi w:val="0"/>
        <w:jc w:val="start"/>
        <w:rPr/>
      </w:pPr>
      <w:r>
        <w:rPr/>
        <w:t>Gpa1's lack of such restrictive residues makes it more generic, but transplants add targeted specificity, often outperforming full chimeras for receptors requiring precise interactions.</w:t>
      </w:r>
    </w:p>
    <w:p>
      <w:pPr>
        <w:pStyle w:val="Normal"/>
        <w:bidi w:val="0"/>
        <w:jc w:val="start"/>
        <w:rPr/>
      </w:pPr>
      <w:r>
        <w:rPr/>
      </w:r>
    </w:p>
    <w:p>
      <w:pPr>
        <w:pStyle w:val="Normal"/>
        <w:bidi w:val="0"/>
        <w:jc w:val="start"/>
        <w:rPr/>
      </w:pPr>
      <w:r>
        <w:rPr/>
        <w:t>## Procedures for Constructing Transplant Chimeras</w:t>
      </w:r>
    </w:p>
    <w:p>
      <w:pPr>
        <w:pStyle w:val="Normal"/>
        <w:bidi w:val="0"/>
        <w:jc w:val="start"/>
        <w:rPr/>
      </w:pPr>
      <w:r>
        <w:rPr/>
      </w:r>
    </w:p>
    <w:p>
      <w:pPr>
        <w:pStyle w:val="Normal"/>
        <w:bidi w:val="0"/>
        <w:jc w:val="start"/>
        <w:rPr/>
      </w:pPr>
      <w:r>
        <w:rPr/>
        <w:t>To build a transplant chimera:</w:t>
      </w:r>
    </w:p>
    <w:p>
      <w:pPr>
        <w:pStyle w:val="Normal"/>
        <w:bidi w:val="0"/>
        <w:jc w:val="start"/>
        <w:rPr/>
      </w:pPr>
      <w:r>
        <w:rPr/>
      </w:r>
    </w:p>
    <w:p>
      <w:pPr>
        <w:pStyle w:val="Normal"/>
        <w:bidi w:val="0"/>
        <w:jc w:val="start"/>
        <w:rPr/>
      </w:pPr>
      <w:r>
        <w:rPr/>
        <w:t>1. **Gene Amplification**: Use PCR to amplify the Gpa1 gene minus its C-terminal five codons. Separately amplify the C-terminal five codons from the desired mammalian Gα (e.g., Gαi3).</w:t>
      </w:r>
    </w:p>
    <w:p>
      <w:pPr>
        <w:pStyle w:val="Normal"/>
        <w:bidi w:val="0"/>
        <w:jc w:val="start"/>
        <w:rPr/>
      </w:pPr>
      <w:r>
        <w:rPr/>
      </w:r>
    </w:p>
    <w:p>
      <w:pPr>
        <w:pStyle w:val="Normal"/>
        <w:bidi w:val="0"/>
        <w:jc w:val="start"/>
        <w:rPr/>
      </w:pPr>
      <w:r>
        <w:rPr/>
        <w:t>2. **Fusion and Cloning**: Fuse the fragments via overlap extension PCR, ensuring seamless integration. Clone into a yeast expression vector under a promoter like PGK1 or ADH1.</w:t>
      </w:r>
    </w:p>
    <w:p>
      <w:pPr>
        <w:pStyle w:val="Normal"/>
        <w:bidi w:val="0"/>
        <w:jc w:val="start"/>
        <w:rPr/>
      </w:pPr>
      <w:r>
        <w:rPr/>
      </w:r>
    </w:p>
    <w:p>
      <w:pPr>
        <w:pStyle w:val="Normal"/>
        <w:bidi w:val="0"/>
        <w:jc w:val="start"/>
        <w:rPr/>
      </w:pPr>
      <w:r>
        <w:rPr/>
        <w:t>3. **Mutation Introduction**: For specificity adjustments, employ site-directed mutagenesis (e.g., to change Asp229 to Ala or Ser) using primers designed for the target residue.</w:t>
      </w:r>
    </w:p>
    <w:p>
      <w:pPr>
        <w:pStyle w:val="Normal"/>
        <w:bidi w:val="0"/>
        <w:jc w:val="start"/>
        <w:rPr/>
      </w:pPr>
      <w:r>
        <w:rPr/>
      </w:r>
    </w:p>
    <w:p>
      <w:pPr>
        <w:pStyle w:val="Normal"/>
        <w:bidi w:val="0"/>
        <w:jc w:val="start"/>
        <w:rPr/>
      </w:pPr>
      <w:r>
        <w:rPr/>
        <w:t>4. **Transformation and Integration**: Transform the construct into a yeast strain (e.g., with ste2Δ) via lithium acetate. Integrate stably into the genome for consistent expression.</w:t>
      </w:r>
    </w:p>
    <w:p>
      <w:pPr>
        <w:pStyle w:val="Normal"/>
        <w:bidi w:val="0"/>
        <w:jc w:val="start"/>
        <w:rPr/>
      </w:pPr>
      <w:r>
        <w:rPr/>
      </w:r>
    </w:p>
    <w:p>
      <w:pPr>
        <w:pStyle w:val="Normal"/>
        <w:bidi w:val="0"/>
        <w:jc w:val="start"/>
        <w:rPr/>
      </w:pPr>
      <w:r>
        <w:rPr/>
        <w:t>5. **Verification**: Sequence the chimera and test coupling by co-expressing with a GPCR, adding agonists, and measuring reporter activity (e.g., FUS1-lacZ induction).</w:t>
      </w:r>
    </w:p>
    <w:p>
      <w:pPr>
        <w:pStyle w:val="Normal"/>
        <w:bidi w:val="0"/>
        <w:jc w:val="start"/>
        <w:rPr/>
      </w:pPr>
      <w:r>
        <w:rPr/>
      </w:r>
    </w:p>
    <w:p>
      <w:pPr>
        <w:pStyle w:val="Normal"/>
        <w:bidi w:val="0"/>
        <w:jc w:val="start"/>
        <w:rPr/>
      </w:pPr>
      <w:r>
        <w:rPr/>
        <w:t>This process is simpler than Cadus-type library generation, requiring standard molecular biology tools.</w:t>
      </w:r>
    </w:p>
    <w:p>
      <w:pPr>
        <w:pStyle w:val="Normal"/>
        <w:bidi w:val="0"/>
        <w:jc w:val="start"/>
        <w:rPr/>
      </w:pPr>
      <w:r>
        <w:rPr/>
      </w:r>
    </w:p>
    <w:p>
      <w:pPr>
        <w:pStyle w:val="Normal"/>
        <w:bidi w:val="0"/>
        <w:jc w:val="start"/>
        <w:rPr/>
      </w:pPr>
      <w:r>
        <w:rPr/>
        <w:t>## Applications and Examples</w:t>
      </w:r>
    </w:p>
    <w:p>
      <w:pPr>
        <w:pStyle w:val="Normal"/>
        <w:bidi w:val="0"/>
        <w:jc w:val="start"/>
        <w:rPr/>
      </w:pPr>
      <w:r>
        <w:rPr/>
      </w:r>
    </w:p>
    <w:p>
      <w:pPr>
        <w:pStyle w:val="Normal"/>
        <w:bidi w:val="0"/>
        <w:jc w:val="start"/>
        <w:rPr/>
      </w:pPr>
      <w:r>
        <w:rPr/>
        <w:t>Transplant chimeras have facilitated coupling of diverse GPCRs, including fungal ones like Bbr1/2 from Schizophyllum commune under PGK1 with Gpa1 (Fowler et al. 1999) or MET25 promoters (Hegner et al. 1999). Mammalian examples include neurotensin NT1 with Gpa1 under GRAP1 (Leplatois et al. 2001) and CRLR/RAMP combinations with rat Gαs D229S (Miret et al. 2002). They are ideal for high-throughput screening, as in Pausch (1997), where positive signals like growth or β-galactosidase are detected in liquid or solid formats.</w:t>
      </w:r>
    </w:p>
    <w:p>
      <w:pPr>
        <w:pStyle w:val="Normal"/>
        <w:bidi w:val="0"/>
        <w:jc w:val="start"/>
        <w:rPr/>
      </w:pPr>
      <w:r>
        <w:rPr/>
      </w:r>
    </w:p>
    <w:p>
      <w:pPr>
        <w:pStyle w:val="Normal"/>
        <w:bidi w:val="0"/>
        <w:jc w:val="start"/>
        <w:rPr/>
      </w:pPr>
      <w:r>
        <w:rPr/>
        <w:t>## Troubleshooting and Practical Guidance</w:t>
      </w:r>
    </w:p>
    <w:p>
      <w:pPr>
        <w:pStyle w:val="Normal"/>
        <w:bidi w:val="0"/>
        <w:jc w:val="start"/>
        <w:rPr/>
      </w:pPr>
      <w:r>
        <w:rPr/>
      </w:r>
    </w:p>
    <w:p>
      <w:pPr>
        <w:pStyle w:val="Normal"/>
        <w:bidi w:val="0"/>
        <w:jc w:val="start"/>
        <w:rPr/>
      </w:pPr>
      <w:r>
        <w:rPr/>
        <w:t>Common issues include restricted coupling due to residues like Asp229: Mutate to non-restrictive variants (e.g., D229A) and retest. Low efficiency may stem from suboptimal expression; optimize promoters or use integrating vectors. Verify chimera expression via Western blotting and ensure compatibility with yeast Gβγ. For non-coupling, compare with Kang- or Cadus-types, as no direct comparisons exist, but transplants often excel for specificity. Culture strains in selective media at 30°C to maintain stability, and scale for assays in microtiter plates (Brown et al. 2000; Berg et al. 2000). Address lipid effects on pharmacology (Lagane et al. 2000) by validating with mammalian data. These strategies make transplant chimeras a versatile tool for dissecting GPCR-G protein interactions.</w:t>
      </w:r>
    </w:p>
    <w:p>
      <w:pPr>
        <w:pStyle w:val="Normal"/>
        <w:bidi w:val="0"/>
        <w:jc w:val="start"/>
        <w:rPr/>
      </w:pPr>
      <w:r>
        <w:rPr/>
      </w:r>
    </w:p>
    <w:p>
      <w:pPr>
        <w:pStyle w:val="Normal"/>
        <w:bidi w:val="0"/>
        <w:jc w:val="start"/>
        <w:rPr/>
      </w:pPr>
      <w:r>
        <w:rPr/>
        <w:t>(Word count: 748)</w:t>
      </w:r>
    </w:p>
    <w:p>
      <w:pPr>
        <w:pStyle w:val="Normal"/>
        <w:bidi w:val="0"/>
        <w:jc w:val="start"/>
        <w:rPr/>
      </w:pPr>
      <w:r>
        <w:rPr/>
      </w:r>
    </w:p>
    <w:p>
      <w:pPr>
        <w:pStyle w:val="Normal"/>
        <w:bidi w:val="0"/>
        <w:jc w:val="start"/>
        <w:rPr/>
      </w:pPr>
      <w:r>
        <w:rPr/>
        <w:t># Section 8: Role of G Beta-Gamma Subunits in Yeast Coupling Mechanisms</w:t>
      </w:r>
    </w:p>
    <w:p>
      <w:pPr>
        <w:pStyle w:val="Normal"/>
        <w:bidi w:val="0"/>
        <w:jc w:val="start"/>
        <w:rPr/>
      </w:pPr>
      <w:r>
        <w:rPr/>
      </w:r>
    </w:p>
    <w:p>
      <w:pPr>
        <w:pStyle w:val="Normal"/>
        <w:bidi w:val="0"/>
        <w:jc w:val="start"/>
        <w:rPr/>
      </w:pPr>
      <w:r>
        <w:rPr/>
        <w:t>## Overview of G Beta-Gamma Subunits in Yeast Signaling</w:t>
      </w:r>
    </w:p>
    <w:p>
      <w:pPr>
        <w:pStyle w:val="Normal"/>
        <w:bidi w:val="0"/>
        <w:jc w:val="start"/>
        <w:rPr/>
      </w:pPr>
      <w:r>
        <w:rPr/>
      </w:r>
    </w:p>
    <w:p>
      <w:pPr>
        <w:pStyle w:val="Normal"/>
        <w:bidi w:val="0"/>
        <w:jc w:val="start"/>
        <w:rPr/>
      </w:pPr>
      <w:r>
        <w:rPr/>
        <w:t>In the yeast *Saccharomyces cerevisiae*, the heterotrimeric G protein consists of Gpa1 (Gα subunit) and the G beta-gamma (Gβγ) complex formed by Ste4 (Gβ) and Ste18 (Gγ). Unlike mammalian systems where Gα often drives primary signaling, yeast signaling uniquely relies on the released Gβγ subunits to propagate the signal upon G protein-coupled receptor (GPCR) activation. This mechanism is central to the native pheromone-response pathway and its adaptations for heterologous GPCRs. When a ligand binds the receptor, it catalyzes GDP-to-GTP exchange on Gpa1, leading to dissociation of Gα-GTP from Gβγ. The free Gβγ then interacts with downstream effectors, primarily recruiting the scaffold protein Ste5 to activate the MAP kinase cascade (Ste11, Ste7, Fus3), culminating in transcriptional activation via Ste12.</w:t>
      </w:r>
    </w:p>
    <w:p>
      <w:pPr>
        <w:pStyle w:val="Normal"/>
        <w:bidi w:val="0"/>
        <w:jc w:val="start"/>
        <w:rPr/>
      </w:pPr>
      <w:r>
        <w:rPr/>
      </w:r>
    </w:p>
    <w:p>
      <w:pPr>
        <w:pStyle w:val="Normal"/>
        <w:bidi w:val="0"/>
        <w:jc w:val="start"/>
        <w:rPr/>
      </w:pPr>
      <w:r>
        <w:rPr/>
        <w:t>Structural insights from studies on G protein heterotrimers (Lambright et al. 1996; Wall et al. 1995) reveal that Gβγ forms a stable dimer with propeller-like folds in Gβ and a coiled-coil interface, maintaining close association with Gα in the inactive state. In yeast, Gpa1 acts as an inhibitor; its GTP-bound form sequesters Gβγ, preventing signaling. This inverted logic compared to mammals makes yeast ideal for engineering, as heterologous GPCRs can be coupled by ensuring compatibility with native Gβγ. For instructional purposes, recognize that Gβγ's role is pivotal—no signal transduction occurs without its release and interaction with the MAP kinase module.</w:t>
      </w:r>
    </w:p>
    <w:p>
      <w:pPr>
        <w:pStyle w:val="Normal"/>
        <w:bidi w:val="0"/>
        <w:jc w:val="start"/>
        <w:rPr/>
      </w:pPr>
      <w:r>
        <w:rPr/>
      </w:r>
    </w:p>
    <w:p>
      <w:pPr>
        <w:pStyle w:val="Normal"/>
        <w:bidi w:val="0"/>
        <w:jc w:val="start"/>
        <w:rPr/>
      </w:pPr>
      <w:r>
        <w:rPr/>
        <w:t>## Role in Native and Heterologous Coupling Mechanisms</w:t>
      </w:r>
    </w:p>
    <w:p>
      <w:pPr>
        <w:pStyle w:val="Normal"/>
        <w:bidi w:val="0"/>
        <w:jc w:val="start"/>
        <w:rPr/>
      </w:pPr>
      <w:r>
        <w:rPr/>
      </w:r>
    </w:p>
    <w:p>
      <w:pPr>
        <w:pStyle w:val="Normal"/>
        <w:bidi w:val="0"/>
        <w:jc w:val="start"/>
        <w:rPr/>
      </w:pPr>
      <w:r>
        <w:rPr/>
        <w:t>In the native pathway, Gβγ (Ste4/Ste18) is essential for transducing pheromone signals from Ste2 or Ste3 receptors. Upon dissociation, Ste4/Ste18 binds Ste5, facilitating phosphorylation events that lead to Fus3 activation and responses like cell cycle arrest via Far1 and gene induction under FUS1 promoters (Miyajima et al. 1987; Nomoto et al. 1990). For heterologous GPCRs, the same Gβγ drives signaling when coupled through engineered Gα chimeras (e.g., Kang-type or transplant types). The chimeric Gα must interact properly with Ste4/Ste18 to allow dissociation and Gβγ-mediated activation.</w:t>
      </w:r>
    </w:p>
    <w:p>
      <w:pPr>
        <w:pStyle w:val="Normal"/>
        <w:bidi w:val="0"/>
        <w:jc w:val="start"/>
        <w:rPr/>
      </w:pPr>
      <w:r>
        <w:rPr/>
      </w:r>
    </w:p>
    <w:p>
      <w:pPr>
        <w:pStyle w:val="Normal"/>
        <w:bidi w:val="0"/>
        <w:jc w:val="start"/>
        <w:rPr/>
      </w:pPr>
      <w:r>
        <w:rPr/>
        <w:t>Examples include coupling of fungal GPCRs like Rcb1 and Rcb3 from *Coprinus cinereus* (Olesnicky et al. 1999, 2000) or Bbr1/2 from *Schizophyllum commune* (Fowler et al. 1999; Hegner et al. 1999), where native Ste4/Ste18 supports signaling via modified Gpa1. Mammalian receptors, such as neurotensin NT1 (Leplatois et al. 2001) or CRLR with RAMPs (Miret et al. 2002), also rely on Gβγ release for reporter activation. Importantly, Gβγ specificity is yeast-centric; modifications are rarely made to Ste4/Ste18, as the focus is on Gα to bridge receptor interactions. However, incompatibility between chimeric Gα and Ste4/Ste18 can hinder coupling, as seen in attempts with certain Gαi2 fusions (Swift et al. 2000).</w:t>
      </w:r>
    </w:p>
    <w:p>
      <w:pPr>
        <w:pStyle w:val="Normal"/>
        <w:bidi w:val="0"/>
        <w:jc w:val="start"/>
        <w:rPr/>
      </w:pPr>
      <w:r>
        <w:rPr/>
      </w:r>
    </w:p>
    <w:p>
      <w:pPr>
        <w:pStyle w:val="Normal"/>
        <w:bidi w:val="0"/>
        <w:jc w:val="start"/>
        <w:rPr/>
      </w:pPr>
      <w:r>
        <w:rPr/>
        <w:t>## Interactions with Engineered G Alpha and Specificity Considerations</w:t>
      </w:r>
    </w:p>
    <w:p>
      <w:pPr>
        <w:pStyle w:val="Normal"/>
        <w:bidi w:val="0"/>
        <w:jc w:val="start"/>
        <w:rPr/>
      </w:pPr>
      <w:r>
        <w:rPr/>
      </w:r>
    </w:p>
    <w:p>
      <w:pPr>
        <w:pStyle w:val="Normal"/>
        <w:bidi w:val="0"/>
        <w:jc w:val="start"/>
        <w:rPr/>
      </w:pPr>
      <w:r>
        <w:rPr/>
        <w:t>Gβγ interacts with Gα via switch domains and helical regions, as detailed in crystal structures (Wall et al. 1995). In chimeras, the N-terminal portion of Gpa1 is retained to ensure binding to Ste4/Ste18, while C-terminal mammalian sequences enhance receptor contact. This preserves Gβγ sequestration in the inactive state and allows release upon activation. Specificity determinants in Gα, like Asp229 in Gαi3 (Baranski et al. 1999), indirectly affect Gβγ dynamics by influencing Gα conformation, but Gβγ itself lacks such restrictive elements due to yeast's limited native GPCRs.</w:t>
      </w:r>
    </w:p>
    <w:p>
      <w:pPr>
        <w:pStyle w:val="Normal"/>
        <w:bidi w:val="0"/>
        <w:jc w:val="start"/>
        <w:rPr/>
      </w:pPr>
      <w:r>
        <w:rPr/>
      </w:r>
    </w:p>
    <w:p>
      <w:pPr>
        <w:pStyle w:val="Normal"/>
        <w:bidi w:val="0"/>
        <w:jc w:val="start"/>
        <w:rPr/>
      </w:pPr>
      <w:r>
        <w:rPr/>
        <w:t>For complex reconstitutions, like CRLR/RAMP (Miret et al. 2002), Gβγ enables functional signaling without additional modifications, highlighting its robustness. Practical guidance: Ensure chimeric Gα designs maintain yeast N-terminal interfaces to avoid disrupting Gβγ binding, which could lead to constitutive signaling or failure.</w:t>
      </w:r>
    </w:p>
    <w:p>
      <w:pPr>
        <w:pStyle w:val="Normal"/>
        <w:bidi w:val="0"/>
        <w:jc w:val="start"/>
        <w:rPr/>
      </w:pPr>
      <w:r>
        <w:rPr/>
      </w:r>
    </w:p>
    <w:p>
      <w:pPr>
        <w:pStyle w:val="Normal"/>
        <w:bidi w:val="0"/>
        <w:jc w:val="start"/>
        <w:rPr/>
      </w:pPr>
      <w:r>
        <w:rPr/>
        <w:t>## Procedures for Verifying G Beta-Gamma Function in Assays</w:t>
      </w:r>
    </w:p>
    <w:p>
      <w:pPr>
        <w:pStyle w:val="Normal"/>
        <w:bidi w:val="0"/>
        <w:jc w:val="start"/>
        <w:rPr/>
      </w:pPr>
      <w:r>
        <w:rPr/>
      </w:r>
    </w:p>
    <w:p>
      <w:pPr>
        <w:pStyle w:val="Normal"/>
        <w:bidi w:val="0"/>
        <w:jc w:val="start"/>
        <w:rPr/>
      </w:pPr>
      <w:r>
        <w:rPr/>
        <w:t>To assess Gβγ role:</w:t>
      </w:r>
    </w:p>
    <w:p>
      <w:pPr>
        <w:pStyle w:val="Normal"/>
        <w:bidi w:val="0"/>
        <w:jc w:val="start"/>
        <w:rPr/>
      </w:pPr>
      <w:r>
        <w:rPr/>
      </w:r>
    </w:p>
    <w:p>
      <w:pPr>
        <w:pStyle w:val="Normal"/>
        <w:bidi w:val="0"/>
        <w:jc w:val="start"/>
        <w:rPr/>
      </w:pPr>
      <w:r>
        <w:rPr/>
        <w:t>1. **Strain Setup**: Use yeast strains with intact STE4 and STE18 genes, transformed with heterologous GPCR and Gα chimera plasmids.</w:t>
      </w:r>
    </w:p>
    <w:p>
      <w:pPr>
        <w:pStyle w:val="Normal"/>
        <w:bidi w:val="0"/>
        <w:jc w:val="start"/>
        <w:rPr/>
      </w:pPr>
      <w:r>
        <w:rPr/>
      </w:r>
    </w:p>
    <w:p>
      <w:pPr>
        <w:pStyle w:val="Normal"/>
        <w:bidi w:val="0"/>
        <w:jc w:val="start"/>
        <w:rPr/>
      </w:pPr>
      <w:r>
        <w:rPr/>
        <w:t>2. **Activation Test**: Add agonists and monitor downstream readouts (e.g., FUS1-lacZ induction via β-galactosidase assay with ONPG substrate).</w:t>
      </w:r>
    </w:p>
    <w:p>
      <w:pPr>
        <w:pStyle w:val="Normal"/>
        <w:bidi w:val="0"/>
        <w:jc w:val="start"/>
        <w:rPr/>
      </w:pPr>
      <w:r>
        <w:rPr/>
      </w:r>
    </w:p>
    <w:p>
      <w:pPr>
        <w:pStyle w:val="Normal"/>
        <w:bidi w:val="0"/>
        <w:jc w:val="start"/>
        <w:rPr/>
      </w:pPr>
      <w:r>
        <w:rPr/>
        <w:t>3. **Interaction Confirmation**: Employ co-immunoprecipitation to verify Gα-Gβγ association in inactive states, using tagged proteins.</w:t>
      </w:r>
    </w:p>
    <w:p>
      <w:pPr>
        <w:pStyle w:val="Normal"/>
        <w:bidi w:val="0"/>
        <w:jc w:val="start"/>
        <w:rPr/>
      </w:pPr>
      <w:r>
        <w:rPr/>
      </w:r>
    </w:p>
    <w:p>
      <w:pPr>
        <w:pStyle w:val="Normal"/>
        <w:bidi w:val="0"/>
        <w:jc w:val="start"/>
        <w:rPr/>
      </w:pPr>
      <w:r>
        <w:rPr/>
        <w:t>4. **Functional Assay**: Measure MAP kinase activation via Western blot for phosphorylated Fus3.</w:t>
      </w:r>
    </w:p>
    <w:p>
      <w:pPr>
        <w:pStyle w:val="Normal"/>
        <w:bidi w:val="0"/>
        <w:jc w:val="start"/>
        <w:rPr/>
      </w:pPr>
      <w:r>
        <w:rPr/>
      </w:r>
    </w:p>
    <w:p>
      <w:pPr>
        <w:pStyle w:val="Normal"/>
        <w:bidi w:val="0"/>
        <w:jc w:val="start"/>
        <w:rPr/>
      </w:pPr>
      <w:r>
        <w:rPr/>
        <w:t>## Troubleshooting and Practical Guidance</w:t>
      </w:r>
    </w:p>
    <w:p>
      <w:pPr>
        <w:pStyle w:val="Normal"/>
        <w:bidi w:val="0"/>
        <w:jc w:val="start"/>
        <w:rPr/>
      </w:pPr>
      <w:r>
        <w:rPr/>
      </w:r>
    </w:p>
    <w:p>
      <w:pPr>
        <w:pStyle w:val="Normal"/>
        <w:bidi w:val="0"/>
        <w:jc w:val="start"/>
        <w:rPr/>
      </w:pPr>
      <w:r>
        <w:rPr/>
        <w:t>Common issues include poor Gβγ release due to Gα-Gβγ mismatch: Test alternative chimeras (e.g., mutate D229S in Gαs) and confirm via growth assays on selective media. Constitutive signaling may indicate weak Gα sequestration—optimize expression levels with promoters like PGK1. For low efficiency, check lipid effects on membrane dynamics (Lagane et al. 2000), as they can influence Gβγ interactions. Maintain cultures at 30°C in selective media to preserve stability. In high-throughput setups (Pausch 1997), scale liquid assays in microtiter plates, relying on Gβγ-driven growth for ligand detection. If coupling fails, consider GPCR-Gα fusions to force interactions (Medici et al. 1997), bypassing Gβγ issues indirectly.</w:t>
      </w:r>
    </w:p>
    <w:p>
      <w:pPr>
        <w:pStyle w:val="Normal"/>
        <w:bidi w:val="0"/>
        <w:jc w:val="start"/>
        <w:rPr/>
      </w:pPr>
      <w:r>
        <w:rPr/>
      </w:r>
    </w:p>
    <w:p>
      <w:pPr>
        <w:pStyle w:val="Normal"/>
        <w:bidi w:val="0"/>
        <w:jc w:val="start"/>
        <w:rPr/>
      </w:pPr>
      <w:r>
        <w:rPr/>
        <w:t>Overall, Gβγ's central role underscores yeast's utility for GPCR studies, providing a reliable transduction module when paired with engineered Gα.</w:t>
      </w:r>
    </w:p>
    <w:p>
      <w:pPr>
        <w:pStyle w:val="Normal"/>
        <w:bidi w:val="0"/>
        <w:jc w:val="start"/>
        <w:rPr/>
      </w:pPr>
      <w:r>
        <w:rPr/>
      </w:r>
    </w:p>
    <w:p>
      <w:pPr>
        <w:pStyle w:val="Normal"/>
        <w:bidi w:val="0"/>
        <w:jc w:val="start"/>
        <w:rPr/>
      </w:pPr>
      <w:r>
        <w:rPr/>
        <w:t>(Word count: 602)</w:t>
      </w:r>
    </w:p>
    <w:p>
      <w:pPr>
        <w:pStyle w:val="Normal"/>
        <w:bidi w:val="0"/>
        <w:jc w:val="start"/>
        <w:rPr/>
      </w:pPr>
      <w:r>
        <w:rPr/>
      </w:r>
    </w:p>
    <w:p>
      <w:pPr>
        <w:pStyle w:val="Normal"/>
        <w:bidi w:val="0"/>
        <w:jc w:val="start"/>
        <w:rPr/>
      </w:pPr>
      <w:r>
        <w:rPr/>
        <w:t># Section 9: Table of Heterologous GPCRs Coupled to Yeast Pathways</w:t>
      </w:r>
    </w:p>
    <w:p>
      <w:pPr>
        <w:pStyle w:val="Normal"/>
        <w:bidi w:val="0"/>
        <w:jc w:val="start"/>
        <w:rPr/>
      </w:pPr>
      <w:r>
        <w:rPr/>
      </w:r>
    </w:p>
    <w:p>
      <w:pPr>
        <w:pStyle w:val="Normal"/>
        <w:bidi w:val="0"/>
        <w:jc w:val="start"/>
        <w:rPr/>
      </w:pPr>
      <w:r>
        <w:rPr/>
        <w:t>## Introduction to the Table</w:t>
      </w:r>
    </w:p>
    <w:p>
      <w:pPr>
        <w:pStyle w:val="Normal"/>
        <w:bidi w:val="0"/>
        <w:jc w:val="start"/>
        <w:rPr/>
      </w:pPr>
      <w:r>
        <w:rPr/>
      </w:r>
    </w:p>
    <w:p>
      <w:pPr>
        <w:pStyle w:val="Normal"/>
        <w:bidi w:val="0"/>
        <w:jc w:val="start"/>
        <w:rPr/>
      </w:pPr>
      <w:r>
        <w:rPr/>
        <w:t>This section presents a compiled table of heterologous G protein-coupled receptors (GPCRs) that have been successfully coupled to the yeast pheromone-response pathway, drawing from published examples in the field. The table serves as a practical reference for researchers aiming to select appropriate expression systems, promoters, and G protein chimeras for functional assays. Heterologous GPCRs are those expressed in yeast from non-yeast species, such as fungi or mammals, and engineered to activate the native yeast signaling cascade upon ligand binding. This coupling enables measurable readouts like reporter gene expression or growth, facilitating ligand identification and mechanistic studies.</w:t>
      </w:r>
    </w:p>
    <w:p>
      <w:pPr>
        <w:pStyle w:val="Normal"/>
        <w:bidi w:val="0"/>
        <w:jc w:val="start"/>
        <w:rPr/>
      </w:pPr>
      <w:r>
        <w:rPr/>
      </w:r>
    </w:p>
    <w:p>
      <w:pPr>
        <w:pStyle w:val="Normal"/>
        <w:bidi w:val="0"/>
        <w:jc w:val="start"/>
        <w:rPr/>
      </w:pPr>
      <w:r>
        <w:rPr/>
        <w:t>The table is instructional in nature, highlighting key parameters for replication: receptor name and species, expression promoter, optimal G protein (including chimera type), and reference. Chimera types include "Kang" (fusions at defined points like BamHI), "Cadus" (randomized fusions with mutations), and "TP" (transplant chimeras replacing Gpa1's C-terminal five residues). Use this table to guide strain setup, avoiding trial-and-error by matching your GPCR to similar examples. For instance, fungal receptors often couple via transplant chimeras, while mammalian ones may require mutations like D229S for efficiency. Note that not all GPCRs couple equally due to factors like lipid composition or accessory proteins; consult references for full protocols.</w:t>
      </w:r>
    </w:p>
    <w:p>
      <w:pPr>
        <w:pStyle w:val="Normal"/>
        <w:bidi w:val="0"/>
        <w:jc w:val="start"/>
        <w:rPr/>
      </w:pPr>
      <w:r>
        <w:rPr/>
      </w:r>
    </w:p>
    <w:p>
      <w:pPr>
        <w:pStyle w:val="Normal"/>
        <w:bidi w:val="0"/>
        <w:jc w:val="start"/>
        <w:rPr/>
      </w:pPr>
      <w:r>
        <w:rPr/>
        <w:t>## Compiled Table of Coupled Heterologous GPCRs</w:t>
      </w:r>
    </w:p>
    <w:p>
      <w:pPr>
        <w:pStyle w:val="Normal"/>
        <w:bidi w:val="0"/>
        <w:jc w:val="start"/>
        <w:rPr/>
      </w:pPr>
      <w:r>
        <w:rPr/>
      </w:r>
    </w:p>
    <w:p>
      <w:pPr>
        <w:pStyle w:val="Normal"/>
        <w:bidi w:val="0"/>
        <w:jc w:val="start"/>
        <w:rPr/>
      </w:pPr>
      <w:r>
        <w:rPr/>
        <w:t>Below is a tabulated summary of selected heterologous GPCRs coupled in yeast. Entries are based on documented successes, organized by receptor type for clarity. Columns include:</w:t>
      </w:r>
    </w:p>
    <w:p>
      <w:pPr>
        <w:pStyle w:val="Normal"/>
        <w:bidi w:val="0"/>
        <w:jc w:val="start"/>
        <w:rPr/>
      </w:pPr>
      <w:r>
        <w:rPr/>
      </w:r>
    </w:p>
    <w:p>
      <w:pPr>
        <w:pStyle w:val="Normal"/>
        <w:bidi w:val="0"/>
        <w:jc w:val="start"/>
        <w:rPr/>
      </w:pPr>
      <w:r>
        <w:rPr/>
        <w:t>- **Receptor**: Name of the GPCR.</w:t>
      </w:r>
    </w:p>
    <w:p>
      <w:pPr>
        <w:pStyle w:val="Normal"/>
        <w:bidi w:val="0"/>
        <w:jc w:val="start"/>
        <w:rPr/>
      </w:pPr>
      <w:r>
        <w:rPr/>
        <w:t>- **Species**: Origin (e.g., fungal or mammalian).</w:t>
      </w:r>
    </w:p>
    <w:p>
      <w:pPr>
        <w:pStyle w:val="Normal"/>
        <w:bidi w:val="0"/>
        <w:jc w:val="start"/>
        <w:rPr/>
      </w:pPr>
      <w:r>
        <w:rPr/>
        <w:t>- **Promoter**: Yeast promoter used for expression (e.g., GPD3, PGK1).</w:t>
      </w:r>
    </w:p>
    <w:p>
      <w:pPr>
        <w:pStyle w:val="Normal"/>
        <w:bidi w:val="0"/>
        <w:jc w:val="start"/>
        <w:rPr/>
      </w:pPr>
      <w:r>
        <w:rPr/>
        <w:t>- **G Protein**: Optimal G alpha chimera or variant (e.g., Gpa1/Gαi2 (TP)).</w:t>
      </w:r>
    </w:p>
    <w:p>
      <w:pPr>
        <w:pStyle w:val="Normal"/>
        <w:bidi w:val="0"/>
        <w:jc w:val="start"/>
        <w:rPr/>
      </w:pPr>
      <w:r>
        <w:rPr/>
        <w:t>- **Reference**: Source for detailed methods and outcomes.</w:t>
      </w:r>
    </w:p>
    <w:p>
      <w:pPr>
        <w:pStyle w:val="Normal"/>
        <w:bidi w:val="0"/>
        <w:jc w:val="start"/>
        <w:rPr/>
      </w:pPr>
      <w:r>
        <w:rPr/>
      </w:r>
    </w:p>
    <w:p>
      <w:pPr>
        <w:pStyle w:val="Normal"/>
        <w:bidi w:val="0"/>
        <w:jc w:val="start"/>
        <w:rPr/>
      </w:pPr>
      <w:r>
        <w:rPr/>
        <w:t>| Receptor          | Species          | Promoter | G Protein                  | Reference              |</w:t>
      </w:r>
    </w:p>
    <w:p>
      <w:pPr>
        <w:pStyle w:val="Normal"/>
        <w:bidi w:val="0"/>
        <w:jc w:val="start"/>
        <w:rPr/>
      </w:pPr>
      <w:r>
        <w:rPr/>
        <w:t>|-------------------|------------------|----------|----------------------------|------------------------|</w:t>
      </w:r>
    </w:p>
    <w:p>
      <w:pPr>
        <w:pStyle w:val="Normal"/>
        <w:bidi w:val="0"/>
        <w:jc w:val="start"/>
        <w:rPr/>
      </w:pPr>
      <w:r>
        <w:rPr/>
        <w:t>| Rcb1             | Coprinus cinereus | GPD3    | Gpa1/Gα16 (TP)            | Olesnicky et al. 1999 |</w:t>
      </w:r>
    </w:p>
    <w:p>
      <w:pPr>
        <w:pStyle w:val="Normal"/>
        <w:bidi w:val="0"/>
        <w:jc w:val="start"/>
        <w:rPr/>
      </w:pPr>
      <w:r>
        <w:rPr/>
        <w:t>| Rcb3             | Coprinus cinereus | GPD3    | Gpa1/Gαi2 (TP)            | Olesnicky et al. 2000 |</w:t>
      </w:r>
    </w:p>
    <w:p>
      <w:pPr>
        <w:pStyle w:val="Normal"/>
        <w:bidi w:val="0"/>
        <w:jc w:val="start"/>
        <w:rPr/>
      </w:pPr>
      <w:r>
        <w:rPr/>
        <w:t>| Bbr1, Bbr2       | Schizophyllum commune | PGK1   | Gpa1p                     | Fowler et al. 1999    |</w:t>
      </w:r>
    </w:p>
    <w:p>
      <w:pPr>
        <w:pStyle w:val="Normal"/>
        <w:bidi w:val="0"/>
        <w:jc w:val="start"/>
        <w:rPr/>
      </w:pPr>
      <w:r>
        <w:rPr/>
        <w:t>| Bar1, Bar2       | Schizophyllum commune | MET25  | (Not specified; native-like) | Hegner et al. 1999   |</w:t>
      </w:r>
    </w:p>
    <w:p>
      <w:pPr>
        <w:pStyle w:val="Normal"/>
        <w:bidi w:val="0"/>
        <w:jc w:val="start"/>
        <w:rPr/>
      </w:pPr>
      <w:r>
        <w:rPr/>
        <w:t>| Neurotensin NT1  | Human            | GRAP1   | Gpa1p                     | Leplatois et al. 2001 |</w:t>
      </w:r>
    </w:p>
    <w:p>
      <w:pPr>
        <w:pStyle w:val="Normal"/>
        <w:bidi w:val="0"/>
        <w:jc w:val="start"/>
        <w:rPr/>
      </w:pPr>
      <w:r>
        <w:rPr/>
        <w:t>| CGRP (CRLR)      | Human            | PGK1    | Rat Gαs D229S (Cadus)     | Miret et al. 2002     |</w:t>
      </w:r>
    </w:p>
    <w:p>
      <w:pPr>
        <w:pStyle w:val="Normal"/>
        <w:bidi w:val="0"/>
        <w:jc w:val="start"/>
        <w:rPr/>
      </w:pPr>
      <w:r>
        <w:rPr/>
        <w:t>| Adrenomedullin (CRLR) | Human       | PGK1    | Rat Gαs D229S (Cadus)     | Miret et al. 2002     |</w:t>
      </w:r>
    </w:p>
    <w:p>
      <w:pPr>
        <w:pStyle w:val="Normal"/>
        <w:bidi w:val="0"/>
        <w:jc w:val="start"/>
        <w:rPr/>
      </w:pPr>
      <w:r>
        <w:rPr/>
      </w:r>
    </w:p>
    <w:p>
      <w:pPr>
        <w:pStyle w:val="Normal"/>
        <w:bidi w:val="0"/>
        <w:jc w:val="start"/>
        <w:rPr/>
      </w:pPr>
      <w:r>
        <w:rPr/>
        <w:t>*Notes on Table*: For complex receptors like CRLR, co-expression with accessory proteins (e.g., RAMP1 under ADH1 for CGRP; RAMP2 or RAMP3 for adrenomedullin) is required. Gpa1p indicates native yeast Gpa1 without chimera. TP denotes transplant chimeras, effective for specificity. This table is not exhaustive but focuses on representative examples; expand by cross-referencing with historical developments (e.g., early mammalian couplings like β2-adrenergic in King et al. 1990 or somatostatin in Kang et al. 1990).</w:t>
      </w:r>
    </w:p>
    <w:p>
      <w:pPr>
        <w:pStyle w:val="Normal"/>
        <w:bidi w:val="0"/>
        <w:jc w:val="start"/>
        <w:rPr/>
      </w:pPr>
      <w:r>
        <w:rPr/>
      </w:r>
    </w:p>
    <w:p>
      <w:pPr>
        <w:pStyle w:val="Normal"/>
        <w:bidi w:val="0"/>
        <w:jc w:val="start"/>
        <w:rPr/>
      </w:pPr>
      <w:r>
        <w:rPr/>
        <w:t>## Explanation of Table Components and Coupling Strategies</w:t>
      </w:r>
    </w:p>
    <w:p>
      <w:pPr>
        <w:pStyle w:val="Normal"/>
        <w:bidi w:val="0"/>
        <w:jc w:val="start"/>
        <w:rPr/>
      </w:pPr>
      <w:r>
        <w:rPr/>
      </w:r>
    </w:p>
    <w:p>
      <w:pPr>
        <w:pStyle w:val="Normal"/>
        <w:bidi w:val="0"/>
        <w:jc w:val="start"/>
        <w:rPr/>
      </w:pPr>
      <w:r>
        <w:rPr/>
        <w:t>Understanding the table requires knowledge of how these elements integrate into yeast assays. The **receptor** and **species** indicate the heterologous origin, with fungal examples (e.g., Rcb1 from Coprinus cinereus) often coupling more readily due to evolutionary similarity to yeast Ste2/Ste3. Mammalian receptors like NT1 or CRLR may need additional engineering to overcome specificity barriers.</w:t>
      </w:r>
    </w:p>
    <w:p>
      <w:pPr>
        <w:pStyle w:val="Normal"/>
        <w:bidi w:val="0"/>
        <w:jc w:val="start"/>
        <w:rPr/>
      </w:pPr>
      <w:r>
        <w:rPr/>
      </w:r>
    </w:p>
    <w:p>
      <w:pPr>
        <w:pStyle w:val="Normal"/>
        <w:bidi w:val="0"/>
        <w:jc w:val="start"/>
        <w:rPr/>
      </w:pPr>
      <w:r>
        <w:rPr/>
        <w:t>**Promoters** drive expression: GPD3 and PGK1 are strong, constitutive options for high-level production, while MET25 is inducible for controlled expression. Select based on receptor toxicity—start with PGK1 for stability, as in Bbr1/2 couplings (Fowler et al. 1999).</w:t>
      </w:r>
    </w:p>
    <w:p>
      <w:pPr>
        <w:pStyle w:val="Normal"/>
        <w:bidi w:val="0"/>
        <w:jc w:val="start"/>
        <w:rPr/>
      </w:pPr>
      <w:r>
        <w:rPr/>
      </w:r>
    </w:p>
    <w:p>
      <w:pPr>
        <w:pStyle w:val="Normal"/>
        <w:bidi w:val="0"/>
        <w:jc w:val="start"/>
        <w:rPr/>
      </w:pPr>
      <w:r>
        <w:rPr/>
        <w:t>**G Proteins** are critical for coupling: Transplant (TP) chimeras, like Gpa1/Gα16 for Rcb1, replace Gpa1's C-terminus to enhance interactions without disrupting Gβγ binding. Cadus-type variants, such as rat Gαs D229S for CRLR, incorporate mutations (e.g., D229S to alleviate restrictions from Asp229) for complex reconstitutions (Miret et al. 2002). Native Gpa1p works for some, like NT1, but chimeras improve efficiency for others.</w:t>
      </w:r>
    </w:p>
    <w:p>
      <w:pPr>
        <w:pStyle w:val="Normal"/>
        <w:bidi w:val="0"/>
        <w:jc w:val="start"/>
        <w:rPr/>
      </w:pPr>
      <w:r>
        <w:rPr/>
      </w:r>
    </w:p>
    <w:p>
      <w:pPr>
        <w:pStyle w:val="Normal"/>
        <w:bidi w:val="0"/>
        <w:jc w:val="start"/>
        <w:rPr/>
      </w:pPr>
      <w:r>
        <w:rPr/>
        <w:t>References provide protocols: For example, Olesnicky et al. (1999) detail Rcb1 setup with GPD3 and TP chimeras, including verification via β-galactosidase assays.</w:t>
      </w:r>
    </w:p>
    <w:p>
      <w:pPr>
        <w:pStyle w:val="Normal"/>
        <w:bidi w:val="0"/>
        <w:jc w:val="start"/>
        <w:rPr/>
      </w:pPr>
      <w:r>
        <w:rPr/>
      </w:r>
    </w:p>
    <w:p>
      <w:pPr>
        <w:pStyle w:val="Normal"/>
        <w:bidi w:val="0"/>
        <w:jc w:val="start"/>
        <w:rPr/>
      </w:pPr>
      <w:r>
        <w:rPr/>
        <w:t>## Practical Guidance on Using the Table for Assays</w:t>
      </w:r>
    </w:p>
    <w:p>
      <w:pPr>
        <w:pStyle w:val="Normal"/>
        <w:bidi w:val="0"/>
        <w:jc w:val="start"/>
        <w:rPr/>
      </w:pPr>
      <w:r>
        <w:rPr/>
      </w:r>
    </w:p>
    <w:p>
      <w:pPr>
        <w:pStyle w:val="Normal"/>
        <w:bidi w:val="0"/>
        <w:jc w:val="start"/>
        <w:rPr/>
      </w:pPr>
      <w:r>
        <w:rPr/>
        <w:t>To apply this table:</w:t>
      </w:r>
    </w:p>
    <w:p>
      <w:pPr>
        <w:pStyle w:val="Normal"/>
        <w:bidi w:val="0"/>
        <w:jc w:val="start"/>
        <w:rPr/>
      </w:pPr>
      <w:r>
        <w:rPr/>
      </w:r>
    </w:p>
    <w:p>
      <w:pPr>
        <w:pStyle w:val="Normal"/>
        <w:bidi w:val="0"/>
        <w:jc w:val="start"/>
        <w:rPr/>
      </w:pPr>
      <w:r>
        <w:rPr/>
        <w:t>1. **Select a Model**: Match your GPCR to a similar entry. For a fungal receptor like one from Schizophyllum commune, use PGK1 with Gpa1p (Fowler et al. 1999) or MET25 for inducibility (Hegner et al. 1999).</w:t>
      </w:r>
    </w:p>
    <w:p>
      <w:pPr>
        <w:pStyle w:val="Normal"/>
        <w:bidi w:val="0"/>
        <w:jc w:val="start"/>
        <w:rPr/>
      </w:pPr>
      <w:r>
        <w:rPr/>
      </w:r>
    </w:p>
    <w:p>
      <w:pPr>
        <w:pStyle w:val="Normal"/>
        <w:bidi w:val="0"/>
        <w:jc w:val="start"/>
        <w:rPr/>
      </w:pPr>
      <w:r>
        <w:rPr/>
        <w:t>2. **Set Up Expression**: Clone the GPCR into a yeast vector with the listed promoter. Transform into a strain with pathway modifications (e.g., ste2Δ, far1Δ). For multi-component systems like CRLR, co-transform RAMPs under ADH1 (Miret et al. 2002).</w:t>
      </w:r>
    </w:p>
    <w:p>
      <w:pPr>
        <w:pStyle w:val="Normal"/>
        <w:bidi w:val="0"/>
        <w:jc w:val="start"/>
        <w:rPr/>
      </w:pPr>
      <w:r>
        <w:rPr/>
      </w:r>
    </w:p>
    <w:p>
      <w:pPr>
        <w:pStyle w:val="Normal"/>
        <w:bidi w:val="0"/>
        <w:jc w:val="start"/>
        <w:rPr/>
      </w:pPr>
      <w:r>
        <w:rPr/>
        <w:t>3. **Incorporate G Protein**: Integrate the specified chimera (e.g., construct TP via PCR fusion of Gpa1 and mammalian Gα C-terminus). Test alternatives if initial coupling fails, such as mutating Asp229 (Baranski et al. 1999).</w:t>
      </w:r>
    </w:p>
    <w:p>
      <w:pPr>
        <w:pStyle w:val="Normal"/>
        <w:bidi w:val="0"/>
        <w:jc w:val="start"/>
        <w:rPr/>
      </w:pPr>
      <w:r>
        <w:rPr/>
      </w:r>
    </w:p>
    <w:p>
      <w:pPr>
        <w:pStyle w:val="Normal"/>
        <w:bidi w:val="0"/>
        <w:jc w:val="start"/>
        <w:rPr/>
      </w:pPr>
      <w:r>
        <w:rPr/>
        <w:t>4. **Verify Coupling**: Add known ligands and measure activation via reporters (e.g., FUS1-lacZ). Compare pharmacology to mammalian data, noting potential lipid effects (Lagane et al. 2000).</w:t>
      </w:r>
    </w:p>
    <w:p>
      <w:pPr>
        <w:pStyle w:val="Normal"/>
        <w:bidi w:val="0"/>
        <w:jc w:val="start"/>
        <w:rPr/>
      </w:pPr>
      <w:r>
        <w:rPr/>
      </w:r>
    </w:p>
    <w:p>
      <w:pPr>
        <w:pStyle w:val="Normal"/>
        <w:bidi w:val="0"/>
        <w:jc w:val="start"/>
        <w:rPr/>
      </w:pPr>
      <w:r>
        <w:rPr/>
        <w:t>5. **Scale for Screening**: Adapt for high-throughput by seeding in microtiter plates (Pausch 1997; Brown et al. 2000).</w:t>
      </w:r>
    </w:p>
    <w:p>
      <w:pPr>
        <w:pStyle w:val="Normal"/>
        <w:bidi w:val="0"/>
        <w:jc w:val="start"/>
        <w:rPr/>
      </w:pPr>
      <w:r>
        <w:rPr/>
      </w:r>
    </w:p>
    <w:p>
      <w:pPr>
        <w:pStyle w:val="Normal"/>
        <w:bidi w:val="0"/>
        <w:jc w:val="start"/>
        <w:rPr/>
      </w:pPr>
      <w:r>
        <w:rPr/>
        <w:t>Troubleshoot non-coupling by checking specificity determinants (e.g., Asp229 in Gαi3 restricts some interactions; mutate to Ala230 for broader compatibility). For heterodimerizing receptors, ensure co-expression of partners (Milligan and White 2001). This table aids in efficient setup, reducing optimization time.</w:t>
      </w:r>
    </w:p>
    <w:p>
      <w:pPr>
        <w:pStyle w:val="Normal"/>
        <w:bidi w:val="0"/>
        <w:jc w:val="start"/>
        <w:rPr/>
      </w:pPr>
      <w:r>
        <w:rPr/>
      </w:r>
    </w:p>
    <w:p>
      <w:pPr>
        <w:pStyle w:val="Normal"/>
        <w:bidi w:val="0"/>
        <w:jc w:val="start"/>
        <w:rPr/>
      </w:pPr>
      <w:r>
        <w:rPr/>
        <w:t>## Insights and Applications</w:t>
      </w:r>
    </w:p>
    <w:p>
      <w:pPr>
        <w:pStyle w:val="Normal"/>
        <w:bidi w:val="0"/>
        <w:jc w:val="start"/>
        <w:rPr/>
      </w:pPr>
      <w:r>
        <w:rPr/>
      </w:r>
    </w:p>
    <w:p>
      <w:pPr>
        <w:pStyle w:val="Normal"/>
        <w:bidi w:val="0"/>
        <w:jc w:val="start"/>
        <w:rPr/>
      </w:pPr>
      <w:r>
        <w:rPr/>
        <w:t>The table illustrates yeast's versatility: Fungal GPCRs like Rcb3 couple via TP chimeras for species-specific studies (Olesnicky et al. 2000), while mammalian ones like CRLR demonstrate reconstitution of complex pharmacology (Miret et al. 2002), confirming minimal functional units. Use it for ligand screening, as in HTS formats (Klein et al. 1998), or to explore pharmacology discrepancies due to yeast lipids (Lagane et al. 2000). By referencing this</w:t>
      </w:r>
    </w:p>
    <w:p>
      <w:pPr>
        <w:pStyle w:val="Normal"/>
        <w:bidi w:val="0"/>
        <w:jc w:val="start"/>
        <w:rPr/>
      </w:pPr>
      <w:r>
        <w:rPr/>
      </w:r>
    </w:p>
    <w:p>
      <w:pPr>
        <w:pStyle w:val="Normal"/>
        <w:bidi w:val="0"/>
        <w:jc w:val="start"/>
        <w:rPr/>
      </w:pPr>
      <w:r>
        <w:rPr/>
        <w:t># Section 10: Expression Systems and Promoters for GPCRs in Yeast</w:t>
      </w:r>
    </w:p>
    <w:p>
      <w:pPr>
        <w:pStyle w:val="Normal"/>
        <w:bidi w:val="0"/>
        <w:jc w:val="start"/>
        <w:rPr/>
      </w:pPr>
      <w:r>
        <w:rPr/>
      </w:r>
    </w:p>
    <w:p>
      <w:pPr>
        <w:pStyle w:val="Normal"/>
        <w:bidi w:val="0"/>
        <w:jc w:val="start"/>
        <w:rPr/>
      </w:pPr>
      <w:r>
        <w:rPr/>
        <w:t>## Overview of Yeast Expression Systems for GPCRs</w:t>
      </w:r>
    </w:p>
    <w:p>
      <w:pPr>
        <w:pStyle w:val="Normal"/>
        <w:bidi w:val="0"/>
        <w:jc w:val="start"/>
        <w:rPr/>
      </w:pPr>
      <w:r>
        <w:rPr/>
      </w:r>
    </w:p>
    <w:p>
      <w:pPr>
        <w:pStyle w:val="Normal"/>
        <w:bidi w:val="0"/>
        <w:jc w:val="start"/>
        <w:rPr/>
      </w:pPr>
      <w:r>
        <w:rPr/>
        <w:t>Yeast, particularly *Saccharomyces cerevisiae*, provides robust heterologous expression systems for G protein-coupled receptors (GPCRs) due to its eukaryotic nature, supporting proper membrane protein folding and post-translational modifications. These systems involve vectors and strains engineered to express foreign GPCRs, often integrated with the pheromone-response pathway for functional assays. Expression is typically achieved using plasmids (episomal or integrating) that carry the GPCR gene under specific promoters. The choice of system impacts receptor levels, stability, and coupling efficiency. For optimal production, select vectors compatible with yeast transformation methods like lithium acetate, and strains with modifications such as ste2Δ or far1Δ to reduce background signaling. References like Olesnicky et al. (1999, 2000) and Fowler et al. (1999) demonstrate successful use for fungal GPCRs, while Miret et al. (2002) and Leplatois et al. (2001) apply them to mammalian receptors.</w:t>
      </w:r>
    </w:p>
    <w:p>
      <w:pPr>
        <w:pStyle w:val="Normal"/>
        <w:bidi w:val="0"/>
        <w:jc w:val="start"/>
        <w:rPr/>
      </w:pPr>
      <w:r>
        <w:rPr/>
      </w:r>
    </w:p>
    <w:p>
      <w:pPr>
        <w:pStyle w:val="Normal"/>
        <w:bidi w:val="0"/>
        <w:jc w:val="start"/>
        <w:rPr/>
      </w:pPr>
      <w:r>
        <w:rPr/>
        <w:t>Key considerations include avoiding toxicity from overexpression, ensuring plasmid stability in selective media, and verifying expression via Western blotting or immunofluorescence. Integrating vectors offer stable, long-term expression, ideal for high-throughput screening (HTS), whereas episomal ones allow easier manipulation but may require constant selection.</w:t>
      </w:r>
    </w:p>
    <w:p>
      <w:pPr>
        <w:pStyle w:val="Normal"/>
        <w:bidi w:val="0"/>
        <w:jc w:val="start"/>
        <w:rPr/>
      </w:pPr>
      <w:r>
        <w:rPr/>
      </w:r>
    </w:p>
    <w:p>
      <w:pPr>
        <w:pStyle w:val="Normal"/>
        <w:bidi w:val="0"/>
        <w:jc w:val="start"/>
        <w:rPr/>
      </w:pPr>
      <w:r>
        <w:rPr/>
        <w:t>## Types of Expression Vectors</w:t>
      </w:r>
    </w:p>
    <w:p>
      <w:pPr>
        <w:pStyle w:val="Normal"/>
        <w:bidi w:val="0"/>
        <w:jc w:val="start"/>
        <w:rPr/>
      </w:pPr>
      <w:r>
        <w:rPr/>
      </w:r>
    </w:p>
    <w:p>
      <w:pPr>
        <w:pStyle w:val="Normal"/>
        <w:bidi w:val="0"/>
        <w:jc w:val="start"/>
        <w:rPr/>
      </w:pPr>
      <w:r>
        <w:rPr/>
        <w:t>Yeast expression vectors for GPCRs are categorized as episomal (multicopy, like 2μ-based plasmids) or integrating (single-copy insertion into the genome). Episomal vectors provide high expression levels but can lead to variability due to copy number fluctuations; they are useful for initial testing. Integrating vectors ensure consistent expression by homologous recombination, making them preferable for reproducible assays, as seen in couplings of receptors like CRLR (Miret et al. 2002).</w:t>
      </w:r>
    </w:p>
    <w:p>
      <w:pPr>
        <w:pStyle w:val="Normal"/>
        <w:bidi w:val="0"/>
        <w:jc w:val="start"/>
        <w:rPr/>
      </w:pPr>
      <w:r>
        <w:rPr/>
      </w:r>
    </w:p>
    <w:p>
      <w:pPr>
        <w:pStyle w:val="Normal"/>
        <w:bidi w:val="0"/>
        <w:jc w:val="start"/>
        <w:rPr/>
      </w:pPr>
      <w:r>
        <w:rPr/>
        <w:t>Common vectors include those with selectable markers (e.g., URA3, LEU2) for auxotrophic strains. For multi-component systems, such as CRLR with RAMPs, use separate vectors or polycistronic constructs to co-express proteins. Clone GPCR genes via PCR amplification and ligation, then transform into competent yeast cells. Post-transformation, confirm integration by PCR or Southern blotting.</w:t>
      </w:r>
    </w:p>
    <w:p>
      <w:pPr>
        <w:pStyle w:val="Normal"/>
        <w:bidi w:val="0"/>
        <w:jc w:val="start"/>
        <w:rPr/>
      </w:pPr>
      <w:r>
        <w:rPr/>
      </w:r>
    </w:p>
    <w:p>
      <w:pPr>
        <w:pStyle w:val="Normal"/>
        <w:bidi w:val="0"/>
        <w:jc w:val="start"/>
        <w:rPr/>
      </w:pPr>
      <w:r>
        <w:rPr/>
        <w:t>## Commonly Used Promoters for GPCR Expression</w:t>
      </w:r>
    </w:p>
    <w:p>
      <w:pPr>
        <w:pStyle w:val="Normal"/>
        <w:bidi w:val="0"/>
        <w:jc w:val="start"/>
        <w:rPr/>
      </w:pPr>
      <w:r>
        <w:rPr/>
      </w:r>
    </w:p>
    <w:p>
      <w:pPr>
        <w:pStyle w:val="Normal"/>
        <w:bidi w:val="0"/>
        <w:jc w:val="start"/>
        <w:rPr/>
      </w:pPr>
      <w:r>
        <w:rPr/>
        <w:t>Promoters drive GPCR transcription and vary in strength and inducibility, influencing expression levels. Strong, constitutive promoters like PGK1 (phosphoglycerate kinase) and ADH1 (alcohol dehydrogenase) are widely used for high, stable production. PGK1 has enabled coupling of Schizophyllum commune receptors Bbr1/2 (Fowler et al. 1999) and human CRLR (Miret et al. 2002). ADH1 is effective for accessory proteins like RAMPs in CRLR reconstitutions (Miret et al. 2002).</w:t>
      </w:r>
    </w:p>
    <w:p>
      <w:pPr>
        <w:pStyle w:val="Normal"/>
        <w:bidi w:val="0"/>
        <w:jc w:val="start"/>
        <w:rPr/>
      </w:pPr>
      <w:r>
        <w:rPr/>
      </w:r>
    </w:p>
    <w:p>
      <w:pPr>
        <w:pStyle w:val="Normal"/>
        <w:bidi w:val="0"/>
        <w:jc w:val="start"/>
        <w:rPr/>
      </w:pPr>
      <w:r>
        <w:rPr/>
        <w:t>GPD3 (glyceraldehyde-3-phosphate dehydrogenase) offers strong constitutive expression, successfully used for Coprinus cinereus receptors Rcb1 and Rcb3 (Olesnicky et al. 1999, 2000). Inducible promoters like MET25 (methionine-repressible) allow controlled expression, applied to Schizophyllum commune receptors Bar1/2 (Hegner et al. 1999) to mitigate toxicity. GRAP1, another constitutive option, has driven human neurotensin receptor NT1 expression (Leplatois et al. 2001).</w:t>
      </w:r>
    </w:p>
    <w:p>
      <w:pPr>
        <w:pStyle w:val="Normal"/>
        <w:bidi w:val="0"/>
        <w:jc w:val="start"/>
        <w:rPr/>
      </w:pPr>
      <w:r>
        <w:rPr/>
      </w:r>
    </w:p>
    <w:p>
      <w:pPr>
        <w:pStyle w:val="Normal"/>
        <w:bidi w:val="0"/>
        <w:jc w:val="start"/>
        <w:rPr/>
      </w:pPr>
      <w:r>
        <w:rPr/>
        <w:t>Select promoters based on GPCR characteristics: Use strong ones for low-affinity receptors needing high levels, and inducible ones for toxic proteins.</w:t>
      </w:r>
    </w:p>
    <w:p>
      <w:pPr>
        <w:pStyle w:val="Normal"/>
        <w:bidi w:val="0"/>
        <w:jc w:val="start"/>
        <w:rPr/>
      </w:pPr>
      <w:r>
        <w:rPr/>
      </w:r>
    </w:p>
    <w:p>
      <w:pPr>
        <w:pStyle w:val="Normal"/>
        <w:bidi w:val="0"/>
        <w:jc w:val="start"/>
        <w:rPr/>
      </w:pPr>
      <w:r>
        <w:rPr/>
        <w:t>## Selecting and Optimizing Expression Systems</w:t>
      </w:r>
    </w:p>
    <w:p>
      <w:pPr>
        <w:pStyle w:val="Normal"/>
        <w:bidi w:val="0"/>
        <w:jc w:val="start"/>
        <w:rPr/>
      </w:pPr>
      <w:r>
        <w:rPr/>
      </w:r>
    </w:p>
    <w:p>
      <w:pPr>
        <w:pStyle w:val="Normal"/>
        <w:bidi w:val="0"/>
        <w:jc w:val="start"/>
        <w:rPr/>
      </w:pPr>
      <w:r>
        <w:rPr/>
        <w:t>To choose a system, match to the GPCR type—fungal receptors often work with GPD3 or PGK1, while mammalian ones may require ADH1 for co-factors. Test multiple promoters to optimize; for example, switch from PGK1 to MET25 if overexpression causes growth defects.</w:t>
      </w:r>
    </w:p>
    <w:p>
      <w:pPr>
        <w:pStyle w:val="Normal"/>
        <w:bidi w:val="0"/>
        <w:jc w:val="start"/>
        <w:rPr/>
      </w:pPr>
      <w:r>
        <w:rPr/>
      </w:r>
    </w:p>
    <w:p>
      <w:pPr>
        <w:pStyle w:val="Normal"/>
        <w:bidi w:val="0"/>
        <w:jc w:val="start"/>
        <w:rPr/>
      </w:pPr>
      <w:r>
        <w:rPr/>
        <w:t>## Practical Guidance for Implementation</w:t>
      </w:r>
    </w:p>
    <w:p>
      <w:pPr>
        <w:pStyle w:val="Normal"/>
        <w:bidi w:val="0"/>
        <w:jc w:val="start"/>
        <w:rPr/>
      </w:pPr>
      <w:r>
        <w:rPr/>
      </w:r>
    </w:p>
    <w:p>
      <w:pPr>
        <w:pStyle w:val="Normal"/>
        <w:bidi w:val="0"/>
        <w:jc w:val="start"/>
        <w:rPr/>
      </w:pPr>
      <w:r>
        <w:rPr/>
        <w:t>1. **Cloning**: Insert the GPCR coding sequence downstream of the promoter in a vector like pPGK1 or pADH1.</w:t>
      </w:r>
    </w:p>
    <w:p>
      <w:pPr>
        <w:pStyle w:val="Normal"/>
        <w:bidi w:val="0"/>
        <w:jc w:val="start"/>
        <w:rPr/>
      </w:pPr>
      <w:r>
        <w:rPr/>
        <w:t>2. **Transformation**: Use lithium acetate to introduce vectors into strains; select on dropout media (e.g., SD-URA).</w:t>
      </w:r>
    </w:p>
    <w:p>
      <w:pPr>
        <w:pStyle w:val="Normal"/>
        <w:bidi w:val="0"/>
        <w:jc w:val="start"/>
        <w:rPr/>
      </w:pPr>
      <w:r>
        <w:rPr/>
        <w:t>3. **Optimization**: Culture at 30°C in YEPD or synthetic media. Induce MET25 by methionine depletion. Monitor expression and adjust for lipid effects on pharmacology (Lagane et al. 2000).</w:t>
      </w:r>
    </w:p>
    <w:p>
      <w:pPr>
        <w:pStyle w:val="Normal"/>
        <w:bidi w:val="0"/>
        <w:jc w:val="start"/>
        <w:rPr/>
      </w:pPr>
      <w:r>
        <w:rPr/>
        <w:t>4. **Troubleshooting**: If expression is low, amplify with multicopy vectors; for instability, integrate genomically.</w:t>
      </w:r>
    </w:p>
    <w:p>
      <w:pPr>
        <w:pStyle w:val="Normal"/>
        <w:bidi w:val="0"/>
        <w:jc w:val="start"/>
        <w:rPr/>
      </w:pPr>
      <w:r>
        <w:rPr/>
      </w:r>
    </w:p>
    <w:p>
      <w:pPr>
        <w:pStyle w:val="Normal"/>
        <w:bidi w:val="0"/>
        <w:jc w:val="start"/>
        <w:rPr/>
      </w:pPr>
      <w:r>
        <w:rPr/>
        <w:t>These systems enable efficient GPCR production, supporting assays for ligand identification and pharmacology studies.</w:t>
      </w:r>
    </w:p>
    <w:p>
      <w:pPr>
        <w:pStyle w:val="Normal"/>
        <w:bidi w:val="0"/>
        <w:jc w:val="start"/>
        <w:rPr/>
      </w:pPr>
      <w:r>
        <w:rPr/>
      </w:r>
    </w:p>
    <w:p>
      <w:pPr>
        <w:pStyle w:val="Normal"/>
        <w:bidi w:val="0"/>
        <w:jc w:val="start"/>
        <w:rPr/>
      </w:pPr>
      <w:r>
        <w:rPr/>
        <w:t>(Word count: 548)</w:t>
      </w:r>
    </w:p>
    <w:p>
      <w:pPr>
        <w:pStyle w:val="Normal"/>
        <w:bidi w:val="0"/>
        <w:jc w:val="start"/>
        <w:rPr/>
      </w:pPr>
      <w:r>
        <w:rPr/>
      </w:r>
    </w:p>
    <w:p>
      <w:pPr>
        <w:pStyle w:val="Normal"/>
        <w:bidi w:val="0"/>
        <w:jc w:val="start"/>
        <w:rPr/>
      </w:pPr>
      <w:r>
        <w:rPr/>
        <w:t># Section 11: Species-Specific Coupling: Examples from Fungi and Mammals</w:t>
      </w:r>
    </w:p>
    <w:p>
      <w:pPr>
        <w:pStyle w:val="Normal"/>
        <w:bidi w:val="0"/>
        <w:jc w:val="start"/>
        <w:rPr/>
      </w:pPr>
      <w:r>
        <w:rPr/>
      </w:r>
    </w:p>
    <w:p>
      <w:pPr>
        <w:pStyle w:val="Normal"/>
        <w:bidi w:val="0"/>
        <w:jc w:val="start"/>
        <w:rPr/>
      </w:pPr>
      <w:r>
        <w:rPr/>
        <w:t>## Understanding Species-Specific Coupling in Yeast Systems</w:t>
      </w:r>
    </w:p>
    <w:p>
      <w:pPr>
        <w:pStyle w:val="Normal"/>
        <w:bidi w:val="0"/>
        <w:jc w:val="start"/>
        <w:rPr/>
      </w:pPr>
      <w:r>
        <w:rPr/>
      </w:r>
    </w:p>
    <w:p>
      <w:pPr>
        <w:pStyle w:val="Normal"/>
        <w:bidi w:val="0"/>
        <w:jc w:val="start"/>
        <w:rPr/>
      </w:pPr>
      <w:r>
        <w:rPr/>
        <w:t>Species-specific coupling refers to the variations in how G protein-coupled receptors (GPCRs) from different organisms interact with the engineered yeast pheromone-response pathway. These differences arise from evolutionary divergences in receptor-G protein interfaces, membrane environments, and accessory factors. Fungal GPCRs often couple more readily due to structural similarities with native yeast receptors like Ste2 and Ste3, while mammalian GPCRs may require extensive modifications, such as specialized G protein chimeras or co-expression of interacting proteins, to achieve efficient signal transduction. This section provides instructional examples from fungi and mammals, highlighting optimal setups for expression, coupling strategies, and verification. Use these to guide adaptations for your GPCR, focusing on transplant (TP) chimeras for fungi and Cadus-type variants for complex mammalian receptors. Always verify coupling with agonist-induced reporter assays, such as FUS1-lacZ, to ensure species-specific pharmacology aligns with native data.</w:t>
      </w:r>
    </w:p>
    <w:p>
      <w:pPr>
        <w:pStyle w:val="Normal"/>
        <w:bidi w:val="0"/>
        <w:jc w:val="start"/>
        <w:rPr/>
      </w:pPr>
      <w:r>
        <w:rPr/>
      </w:r>
    </w:p>
    <w:p>
      <w:pPr>
        <w:pStyle w:val="Normal"/>
        <w:bidi w:val="0"/>
        <w:jc w:val="start"/>
        <w:rPr/>
      </w:pPr>
      <w:r>
        <w:rPr/>
        <w:t>## Examples from Fungal Species</w:t>
      </w:r>
    </w:p>
    <w:p>
      <w:pPr>
        <w:pStyle w:val="Normal"/>
        <w:bidi w:val="0"/>
        <w:jc w:val="start"/>
        <w:rPr/>
      </w:pPr>
      <w:r>
        <w:rPr/>
      </w:r>
    </w:p>
    <w:p>
      <w:pPr>
        <w:pStyle w:val="Normal"/>
        <w:bidi w:val="0"/>
        <w:jc w:val="start"/>
        <w:rPr/>
      </w:pPr>
      <w:r>
        <w:rPr/>
        <w:t>Fungal GPCRs, particularly from basidiomycetes like Coprinus cinereus and Schizophyllum commune, serve as models for species-specific coupling due to their compatibility with yeast's Gpa1 and Gβγ subunits. These receptors often function in mating or developmental pathways, analogous to yeast's pheromone response.</w:t>
      </w:r>
    </w:p>
    <w:p>
      <w:pPr>
        <w:pStyle w:val="Normal"/>
        <w:bidi w:val="0"/>
        <w:jc w:val="start"/>
        <w:rPr/>
      </w:pPr>
      <w:r>
        <w:rPr/>
      </w:r>
    </w:p>
    <w:p>
      <w:pPr>
        <w:pStyle w:val="Normal"/>
        <w:bidi w:val="0"/>
        <w:jc w:val="start"/>
        <w:rPr/>
      </w:pPr>
      <w:r>
        <w:rPr/>
        <w:t>- **Coprinus cinereus Receptors (Rcb1 and Rcb3)**: Rcb1 couples effectively using the GPD3 promoter and a Gpa1/Gα16 transplant chimera (TP), where the C-terminal five residues of Gpa1 are replaced with Gα16 sequences (Olesnicky et al. 1999). This setup enables ligand-induced activation of the MAP kinase cascade, measured via β-galactosidase assays. Similarly, Rcb3 uses GPD3 with Gpa1/Gαi2 (TP) for robust coupling (Olesnicky et al. 2000). These examples illustrate how TP chimeras enhance specificity for fungal receptors, leveraging similarities to yeast Gpa1.</w:t>
      </w:r>
    </w:p>
    <w:p>
      <w:pPr>
        <w:pStyle w:val="Normal"/>
        <w:bidi w:val="0"/>
        <w:jc w:val="start"/>
        <w:rPr/>
      </w:pPr>
      <w:r>
        <w:rPr/>
      </w:r>
    </w:p>
    <w:p>
      <w:pPr>
        <w:pStyle w:val="Normal"/>
        <w:bidi w:val="0"/>
        <w:jc w:val="start"/>
        <w:rPr/>
      </w:pPr>
      <w:r>
        <w:rPr/>
        <w:t>- **Schizophyllum commune Receptors (Bbr1, Bbr2, Bar1, and Bar2)**: Bbr1 and Bbr2 couple via the PGK1 promoter with native Gpa1p, without chimeras, demonstrating direct compatibility (Fowler et al. 1999). For Bar1 and Bar2, the inducible MET25 promoter is used, allowing controlled expression to avoid toxicity (Hegner et al. 1999). These cases highlight that fungal receptors may not always need G protein modifications, but inducible promoters aid optimization.</w:t>
      </w:r>
    </w:p>
    <w:p>
      <w:pPr>
        <w:pStyle w:val="Normal"/>
        <w:bidi w:val="0"/>
        <w:jc w:val="start"/>
        <w:rPr/>
      </w:pPr>
      <w:r>
        <w:rPr/>
      </w:r>
    </w:p>
    <w:p>
      <w:pPr>
        <w:pStyle w:val="Normal"/>
        <w:bidi w:val="0"/>
        <w:jc w:val="start"/>
        <w:rPr/>
      </w:pPr>
      <w:r>
        <w:rPr/>
        <w:t>To implement: Clone the fungal GPCR into a vector with GPD3 or PGK1, transform into ste2Δ yeast strains, and integrate the TP chimera if needed. Test coupling by adding fungal pheromones and monitoring growth on selective media.</w:t>
      </w:r>
    </w:p>
    <w:p>
      <w:pPr>
        <w:pStyle w:val="Normal"/>
        <w:bidi w:val="0"/>
        <w:jc w:val="start"/>
        <w:rPr/>
      </w:pPr>
      <w:r>
        <w:rPr/>
      </w:r>
    </w:p>
    <w:p>
      <w:pPr>
        <w:pStyle w:val="Normal"/>
        <w:bidi w:val="0"/>
        <w:jc w:val="start"/>
        <w:rPr/>
      </w:pPr>
      <w:r>
        <w:rPr/>
        <w:t>## Examples from Mammalian Species</w:t>
      </w:r>
    </w:p>
    <w:p>
      <w:pPr>
        <w:pStyle w:val="Normal"/>
        <w:bidi w:val="0"/>
        <w:jc w:val="start"/>
        <w:rPr/>
      </w:pPr>
      <w:r>
        <w:rPr/>
      </w:r>
    </w:p>
    <w:p>
      <w:pPr>
        <w:pStyle w:val="Normal"/>
        <w:bidi w:val="0"/>
        <w:jc w:val="start"/>
        <w:rPr/>
      </w:pPr>
      <w:r>
        <w:rPr/>
        <w:t>Mammalian GPCRs, such as those from humans, often require more engineering due to differences in G protein specificity and the need for accessory proteins. Yeast lacks mammalian-like factors, so co-expression and mutated chimeras are key.</w:t>
      </w:r>
    </w:p>
    <w:p>
      <w:pPr>
        <w:pStyle w:val="Normal"/>
        <w:bidi w:val="0"/>
        <w:jc w:val="start"/>
        <w:rPr/>
      </w:pPr>
      <w:r>
        <w:rPr/>
      </w:r>
    </w:p>
    <w:p>
      <w:pPr>
        <w:pStyle w:val="Normal"/>
        <w:bidi w:val="0"/>
        <w:jc w:val="start"/>
        <w:rPr/>
      </w:pPr>
      <w:r>
        <w:rPr/>
        <w:t>- **Human Neurotensin Receptor (NT1)**: NT1 couples using the GRAP1 promoter with native Gpa1p, achieving functional activation without chimeras (Leplatois et al. 2001). This simpler setup works for some mammalian receptors, with signal transduction via Gβγ release leading to reporter induction.</w:t>
      </w:r>
    </w:p>
    <w:p>
      <w:pPr>
        <w:pStyle w:val="Normal"/>
        <w:bidi w:val="0"/>
        <w:jc w:val="start"/>
        <w:rPr/>
      </w:pPr>
      <w:r>
        <w:rPr/>
      </w:r>
    </w:p>
    <w:p>
      <w:pPr>
        <w:pStyle w:val="Normal"/>
        <w:bidi w:val="0"/>
        <w:jc w:val="start"/>
        <w:rPr/>
      </w:pPr>
      <w:r>
        <w:rPr/>
        <w:t>- **Human Calcitonin-Receptor-Like Receptor (CRLR) with RAMPs**: CRLR alone does not signal but forms functional complexes with receptor activity-modifying proteins (RAMPs). For CGRP receptor, co-express CRLR under PGK1 with RAMP1 under ADH1, using a rat Gαs D229S Cadus-type chimera (Miret et al. 2002). For adrenomedullin receptor, pair CRLR with RAMP2 or RAMP3 under ADH1 and the same chimera. The D229S mutation alleviates coupling restrictions from Asp229, enabling pharmacology that matches mammalian cells.</w:t>
      </w:r>
    </w:p>
    <w:p>
      <w:pPr>
        <w:pStyle w:val="Normal"/>
        <w:bidi w:val="0"/>
        <w:jc w:val="start"/>
        <w:rPr/>
      </w:pPr>
      <w:r>
        <w:rPr/>
      </w:r>
    </w:p>
    <w:p>
      <w:pPr>
        <w:pStyle w:val="Normal"/>
        <w:bidi w:val="0"/>
        <w:jc w:val="start"/>
        <w:rPr/>
      </w:pPr>
      <w:r>
        <w:rPr/>
        <w:t>These examples show mammalian couplings often involve heterodimerization or accessory proteins (Milligan and White 2001), reconstituted in yeast to define minimal functional units.</w:t>
      </w:r>
    </w:p>
    <w:p>
      <w:pPr>
        <w:pStyle w:val="Normal"/>
        <w:bidi w:val="0"/>
        <w:jc w:val="start"/>
        <w:rPr/>
      </w:pPr>
      <w:r>
        <w:rPr/>
      </w:r>
    </w:p>
    <w:p>
      <w:pPr>
        <w:pStyle w:val="Normal"/>
        <w:bidi w:val="0"/>
        <w:jc w:val="start"/>
        <w:rPr/>
      </w:pPr>
      <w:r>
        <w:rPr/>
        <w:t>To implement: Use separate vectors for CRLR and RAMPs, transform into far1Δ strains, and verify with ligands like CGRP or adrenomedullin via dose-response curves in β-galactosidase assays.</w:t>
      </w:r>
    </w:p>
    <w:p>
      <w:pPr>
        <w:pStyle w:val="Normal"/>
        <w:bidi w:val="0"/>
        <w:jc w:val="start"/>
        <w:rPr/>
      </w:pPr>
      <w:r>
        <w:rPr/>
      </w:r>
    </w:p>
    <w:p>
      <w:pPr>
        <w:pStyle w:val="Normal"/>
        <w:bidi w:val="0"/>
        <w:jc w:val="start"/>
        <w:rPr/>
      </w:pPr>
      <w:r>
        <w:rPr/>
        <w:t>## Comparisons and Challenges in Species-Specific Coupling</w:t>
      </w:r>
    </w:p>
    <w:p>
      <w:pPr>
        <w:pStyle w:val="Normal"/>
        <w:bidi w:val="0"/>
        <w:jc w:val="start"/>
        <w:rPr/>
      </w:pPr>
      <w:r>
        <w:rPr/>
      </w:r>
    </w:p>
    <w:p>
      <w:pPr>
        <w:pStyle w:val="Normal"/>
        <w:bidi w:val="0"/>
        <w:jc w:val="start"/>
        <w:rPr/>
      </w:pPr>
      <w:r>
        <w:rPr/>
        <w:t>Fungal couplings are generally more straightforward, often using native Gpa1p or TP chimeras, due to evolutionary proximity (e.g., Rcb1 vs. Ste2). Mammalian ones face barriers like restrictive residues (e.g., Asp229 in Gαi3, mutated to Ala230 for broader compatibility; Baranski et al. 1999) and lipid composition effects, which can alter pharmacology (Lagane et al. 2000). Yeast membranes differ from mammalian ones, potentially shifting ligand affinities, as seen with opioid receptors.</w:t>
      </w:r>
    </w:p>
    <w:p>
      <w:pPr>
        <w:pStyle w:val="Normal"/>
        <w:bidi w:val="0"/>
        <w:jc w:val="start"/>
        <w:rPr/>
      </w:pPr>
      <w:r>
        <w:rPr/>
      </w:r>
    </w:p>
    <w:p>
      <w:pPr>
        <w:pStyle w:val="Normal"/>
        <w:bidi w:val="0"/>
        <w:jc w:val="start"/>
        <w:rPr/>
      </w:pPr>
      <w:r>
        <w:rPr/>
        <w:t>Troubleshoot fungal couplings by switching promoters (e.g., MET25 for inducibility) if expression is toxic. For mammalian, test mutations like D229S and co-express partners to address heterodimerization. Compare readouts across species to identify discrepancies.</w:t>
      </w:r>
    </w:p>
    <w:p>
      <w:pPr>
        <w:pStyle w:val="Normal"/>
        <w:bidi w:val="0"/>
        <w:jc w:val="start"/>
        <w:rPr/>
      </w:pPr>
      <w:r>
        <w:rPr/>
      </w:r>
    </w:p>
    <w:p>
      <w:pPr>
        <w:pStyle w:val="Normal"/>
        <w:bidi w:val="0"/>
        <w:jc w:val="start"/>
        <w:rPr/>
      </w:pPr>
      <w:r>
        <w:rPr/>
        <w:t>## Practical Guidance and Procedures</w:t>
      </w:r>
    </w:p>
    <w:p>
      <w:pPr>
        <w:pStyle w:val="Normal"/>
        <w:bidi w:val="0"/>
        <w:jc w:val="start"/>
        <w:rPr/>
      </w:pPr>
      <w:r>
        <w:rPr/>
      </w:r>
    </w:p>
    <w:p>
      <w:pPr>
        <w:pStyle w:val="Normal"/>
        <w:bidi w:val="0"/>
        <w:jc w:val="start"/>
        <w:rPr/>
      </w:pPr>
      <w:r>
        <w:rPr/>
        <w:t>1. **Strain and Vector Selection**: Choose ste2Δ or far1Δ strains for reduced interference. Use integrating vectors for stability in fungal setups and episomal for rapid mammalian testing.</w:t>
      </w:r>
    </w:p>
    <w:p>
      <w:pPr>
        <w:pStyle w:val="Normal"/>
        <w:bidi w:val="0"/>
        <w:jc w:val="start"/>
        <w:rPr/>
      </w:pPr>
      <w:r>
        <w:rPr/>
      </w:r>
    </w:p>
    <w:p>
      <w:pPr>
        <w:pStyle w:val="Normal"/>
        <w:bidi w:val="0"/>
        <w:jc w:val="start"/>
        <w:rPr/>
      </w:pPr>
      <w:r>
        <w:rPr/>
        <w:t>2. **Coupling Verification**: Transform with GPCR and chimera, culture in selective media at 30°C, add ligands, and assay FUS1-lacZ with ONPG substrate or growth on histidine-deficient plates.</w:t>
      </w:r>
    </w:p>
    <w:p>
      <w:pPr>
        <w:pStyle w:val="Normal"/>
        <w:bidi w:val="0"/>
        <w:jc w:val="start"/>
        <w:rPr/>
      </w:pPr>
      <w:r>
        <w:rPr/>
      </w:r>
    </w:p>
    <w:p>
      <w:pPr>
        <w:pStyle w:val="Normal"/>
        <w:bidi w:val="0"/>
        <w:jc w:val="start"/>
        <w:rPr/>
      </w:pPr>
      <w:r>
        <w:rPr/>
        <w:t>3. **Optimization**: For failures, mutate specificity determinants (e.g., Asp229 to Ser) via site-directed mutagenesis. Scale for HTS in microtiter plates (Pausch 1997).</w:t>
      </w:r>
    </w:p>
    <w:p>
      <w:pPr>
        <w:pStyle w:val="Normal"/>
        <w:bidi w:val="0"/>
        <w:jc w:val="start"/>
        <w:rPr/>
      </w:pPr>
      <w:r>
        <w:rPr/>
      </w:r>
    </w:p>
    <w:p>
      <w:pPr>
        <w:pStyle w:val="Normal"/>
        <w:bidi w:val="0"/>
        <w:jc w:val="start"/>
        <w:rPr/>
      </w:pPr>
      <w:r>
        <w:rPr/>
        <w:t>4. **Troubleshooting**: Low coupling? Test alternative chimeras (Kang, Cadus, TP). Pharmacology mismatches? Validate against mammalian data, considering lipid influences.</w:t>
      </w:r>
    </w:p>
    <w:p>
      <w:pPr>
        <w:pStyle w:val="Normal"/>
        <w:bidi w:val="0"/>
        <w:jc w:val="start"/>
        <w:rPr/>
      </w:pPr>
      <w:r>
        <w:rPr/>
      </w:r>
    </w:p>
    <w:p>
      <w:pPr>
        <w:pStyle w:val="Normal"/>
        <w:bidi w:val="0"/>
        <w:jc w:val="start"/>
        <w:rPr/>
      </w:pPr>
      <w:r>
        <w:rPr/>
        <w:t>These examples enable tailored yeast assays, bridging fungal simplicity with mammalian complexity for ligand screening and mechanistic insights.</w:t>
      </w:r>
    </w:p>
    <w:p>
      <w:pPr>
        <w:pStyle w:val="Normal"/>
        <w:bidi w:val="0"/>
        <w:jc w:val="start"/>
        <w:rPr/>
      </w:pPr>
      <w:r>
        <w:rPr/>
      </w:r>
    </w:p>
    <w:p>
      <w:pPr>
        <w:pStyle w:val="Normal"/>
        <w:bidi w:val="0"/>
        <w:jc w:val="start"/>
        <w:rPr/>
      </w:pPr>
      <w:r>
        <w:rPr/>
        <w:t>(Word count: 702)</w:t>
      </w:r>
    </w:p>
    <w:p>
      <w:pPr>
        <w:pStyle w:val="Normal"/>
        <w:bidi w:val="0"/>
        <w:jc w:val="start"/>
        <w:rPr/>
      </w:pPr>
      <w:r>
        <w:rPr/>
      </w:r>
    </w:p>
    <w:p>
      <w:pPr>
        <w:pStyle w:val="Normal"/>
        <w:bidi w:val="0"/>
        <w:jc w:val="start"/>
        <w:rPr/>
      </w:pPr>
      <w:r>
        <w:rPr/>
        <w:t># Section 12: Challenges in GPCR Pharmacology: Lipid Composition Effects</w:t>
      </w:r>
    </w:p>
    <w:p>
      <w:pPr>
        <w:pStyle w:val="Normal"/>
        <w:bidi w:val="0"/>
        <w:jc w:val="start"/>
        <w:rPr/>
      </w:pPr>
      <w:r>
        <w:rPr/>
      </w:r>
    </w:p>
    <w:p>
      <w:pPr>
        <w:pStyle w:val="Normal"/>
        <w:bidi w:val="0"/>
        <w:jc w:val="start"/>
        <w:rPr/>
      </w:pPr>
      <w:r>
        <w:rPr/>
        <w:t>## Introduction to Pharmacological Challenges in Yeast-Based GPCR Systems</w:t>
      </w:r>
    </w:p>
    <w:p>
      <w:pPr>
        <w:pStyle w:val="Normal"/>
        <w:bidi w:val="0"/>
        <w:jc w:val="start"/>
        <w:rPr/>
      </w:pPr>
      <w:r>
        <w:rPr/>
      </w:r>
    </w:p>
    <w:p>
      <w:pPr>
        <w:pStyle w:val="Normal"/>
        <w:bidi w:val="0"/>
        <w:jc w:val="start"/>
        <w:rPr/>
      </w:pPr>
      <w:r>
        <w:rPr/>
        <w:t>Studying G protein-coupled receptors (GPCRs) in yeast offers significant advantages, such as genetic tractability and simplicity, but introduces pharmacological challenges that can diverge from native mammalian systems. A primary issue is the influence of membrane lipid composition on GPCR function, ligand binding, and signal transduction. Yeast membranes differ substantially from mammalian ones in lipid profiles, including sterol content (e.g., ergosterol in yeast vs. cholesterol in mammals) and fatty acid saturation levels. These differences can alter receptor conformation, ligand affinity, and overall pharmacology, potentially leading to discrepancies in assay results. For instance, a report highlights that such lipid variations affect the pharmacology of mammalian opioid GPCRs expressed in yeast (Lagane et al. 2000). This section provides instructional guidance on understanding these effects, assessing them, and mitigating challenges to ensure reliable data. While the full implications remain under exploration, recognizing these factors is crucial for interpreting yeast assay outcomes and comparing them to mammalian benchmarks.</w:t>
      </w:r>
    </w:p>
    <w:p>
      <w:pPr>
        <w:pStyle w:val="Normal"/>
        <w:bidi w:val="0"/>
        <w:jc w:val="start"/>
        <w:rPr/>
      </w:pPr>
      <w:r>
        <w:rPr/>
      </w:r>
    </w:p>
    <w:p>
      <w:pPr>
        <w:pStyle w:val="Normal"/>
        <w:bidi w:val="0"/>
        <w:jc w:val="start"/>
        <w:rPr/>
      </w:pPr>
      <w:r>
        <w:rPr/>
        <w:t>## Understanding Lipid Composition Effects on GPCR Pharmacology</w:t>
      </w:r>
    </w:p>
    <w:p>
      <w:pPr>
        <w:pStyle w:val="Normal"/>
        <w:bidi w:val="0"/>
        <w:jc w:val="start"/>
        <w:rPr/>
      </w:pPr>
      <w:r>
        <w:rPr/>
      </w:r>
    </w:p>
    <w:p>
      <w:pPr>
        <w:pStyle w:val="Normal"/>
        <w:bidi w:val="0"/>
        <w:jc w:val="start"/>
        <w:rPr/>
      </w:pPr>
      <w:r>
        <w:rPr/>
        <w:t>Yeast membranes primarily contain ergosterol and unsaturated fatty acids, contrasting with mammalian membranes rich in cholesterol and more saturated lipids. These compositional differences can impact GPCR embedding, stability, and dynamics. For GPCRs, the lipid environment influences the seven-transmembrane helix arrangement, which is critical for ligand binding pockets and G protein interactions. In heterologous expression, this may result in shifted dose-response curves, altered agonist potencies, or even changes in receptor specificity.</w:t>
      </w:r>
    </w:p>
    <w:p>
      <w:pPr>
        <w:pStyle w:val="Normal"/>
        <w:bidi w:val="0"/>
        <w:jc w:val="start"/>
        <w:rPr/>
      </w:pPr>
      <w:r>
        <w:rPr/>
      </w:r>
    </w:p>
    <w:p>
      <w:pPr>
        <w:pStyle w:val="Normal"/>
        <w:bidi w:val="0"/>
        <w:jc w:val="start"/>
        <w:rPr/>
      </w:pPr>
      <w:r>
        <w:rPr/>
        <w:t>A key example involves mammalian opioid receptors, where yeast expression led to variations in ligand binding affinities compared to mammalian cells (Lagane et al. 2000). The study suggests that yeast's lipid milieu may restrict receptor flexibility or modify interaction sites, affecting pharmacological profiles. Similar effects could apply to other GPCRs, such as those from humans or fungi, potentially confounding high-throughput screening (HTS) for agonists. Additionally, lipid differences may exacerbate challenges with receptor-interacting proteins or heterodimerization, as the membrane context influences complex formation (Milligan and White 2001). Conceptually, treat yeast data as a starting point for functional insights, but validate pharmacology in mammalian systems to account for these variances.</w:t>
      </w:r>
    </w:p>
    <w:p>
      <w:pPr>
        <w:pStyle w:val="Normal"/>
        <w:bidi w:val="0"/>
        <w:jc w:val="start"/>
        <w:rPr/>
      </w:pPr>
      <w:r>
        <w:rPr/>
      </w:r>
    </w:p>
    <w:p>
      <w:pPr>
        <w:pStyle w:val="Normal"/>
        <w:bidi w:val="0"/>
        <w:jc w:val="start"/>
        <w:rPr/>
      </w:pPr>
      <w:r>
        <w:rPr/>
        <w:t>## Procedures for Assessing Lipid Composition Effects</w:t>
      </w:r>
    </w:p>
    <w:p>
      <w:pPr>
        <w:pStyle w:val="Normal"/>
        <w:bidi w:val="0"/>
        <w:jc w:val="start"/>
        <w:rPr/>
      </w:pPr>
      <w:r>
        <w:rPr/>
      </w:r>
    </w:p>
    <w:p>
      <w:pPr>
        <w:pStyle w:val="Normal"/>
        <w:bidi w:val="0"/>
        <w:jc w:val="start"/>
        <w:rPr/>
      </w:pPr>
      <w:r>
        <w:rPr/>
        <w:t>To evaluate and address lipid effects in yeast GPCR assays, follow these step-by-step procedures:</w:t>
      </w:r>
    </w:p>
    <w:p>
      <w:pPr>
        <w:pStyle w:val="Normal"/>
        <w:bidi w:val="0"/>
        <w:jc w:val="start"/>
        <w:rPr/>
      </w:pPr>
      <w:r>
        <w:rPr/>
      </w:r>
    </w:p>
    <w:p>
      <w:pPr>
        <w:pStyle w:val="Normal"/>
        <w:bidi w:val="0"/>
        <w:jc w:val="start"/>
        <w:rPr/>
      </w:pPr>
      <w:r>
        <w:rPr/>
        <w:t>1. **Comparative Binding Assays**: Express the GPCR in yeast using promoters like PGK1 or ADH1, as in examples with human neurotensin NT1 (Leplatois et al. 2001) or CRLR (Miret et al. 2002). Perform radioligand binding assays with known agonists (e.g., using tritiated ligands) on yeast membrane preparations. Compare Kd values (dissociation constants) to those from mammalian cell lines. Isolate yeast membranes via centrifugation after cell lysis, and incubate with ligands at 30°C for equilibrium binding.</w:t>
      </w:r>
    </w:p>
    <w:p>
      <w:pPr>
        <w:pStyle w:val="Normal"/>
        <w:bidi w:val="0"/>
        <w:jc w:val="start"/>
        <w:rPr/>
      </w:pPr>
      <w:r>
        <w:rPr/>
      </w:r>
    </w:p>
    <w:p>
      <w:pPr>
        <w:pStyle w:val="Normal"/>
        <w:bidi w:val="0"/>
        <w:jc w:val="start"/>
        <w:rPr/>
      </w:pPr>
      <w:r>
        <w:rPr/>
        <w:t>2. **Dose-Response Analysis**: Set up functional assays with reporters like FUS1-lacZ. Add serial dilutions of ligands and measure β-galactosidase activity using ONPG substrate. Plot dose-response curves and calculate EC50 values. If shifts occur (e.g., higher EC50 in yeast), suspect lipid influences.</w:t>
      </w:r>
    </w:p>
    <w:p>
      <w:pPr>
        <w:pStyle w:val="Normal"/>
        <w:bidi w:val="0"/>
        <w:jc w:val="start"/>
        <w:rPr/>
      </w:pPr>
      <w:r>
        <w:rPr/>
      </w:r>
    </w:p>
    <w:p>
      <w:pPr>
        <w:pStyle w:val="Normal"/>
        <w:bidi w:val="0"/>
        <w:jc w:val="start"/>
        <w:rPr/>
      </w:pPr>
      <w:r>
        <w:rPr/>
        <w:t>3. **Lipid Supplementation Experiments**: Modify yeast media to mimic mammalian lipids. Supplement with cholesterol (up to 10 μg/mL) or saturated fatty acids during culture. Transform strains and grow at 30°C in supplemented YEPD or synthetic media. Reassess pharmacology post-supplementation to observe if binding affinities normalize.</w:t>
      </w:r>
    </w:p>
    <w:p>
      <w:pPr>
        <w:pStyle w:val="Normal"/>
        <w:bidi w:val="0"/>
        <w:jc w:val="start"/>
        <w:rPr/>
      </w:pPr>
      <w:r>
        <w:rPr/>
      </w:r>
    </w:p>
    <w:p>
      <w:pPr>
        <w:pStyle w:val="Normal"/>
        <w:bidi w:val="0"/>
        <w:jc w:val="start"/>
        <w:rPr/>
      </w:pPr>
      <w:r>
        <w:rPr/>
        <w:t>4. **Verification in Mammalian Systems**: Co-express the same GPCR construct in HEK293 or CHO cells via transfection. Conduct parallel binding and functional assays to quantify discrepancies attributable to lipids.</w:t>
      </w:r>
    </w:p>
    <w:p>
      <w:pPr>
        <w:pStyle w:val="Normal"/>
        <w:bidi w:val="0"/>
        <w:jc w:val="start"/>
        <w:rPr/>
      </w:pPr>
      <w:r>
        <w:rPr/>
      </w:r>
    </w:p>
    <w:p>
      <w:pPr>
        <w:pStyle w:val="Normal"/>
        <w:bidi w:val="0"/>
        <w:jc w:val="start"/>
        <w:rPr/>
      </w:pPr>
      <w:r>
        <w:rPr/>
        <w:t>These procedures help quantify how lipid composition alters GPCR behavior, drawing from studies like Lagane et al. (2000) on opioid receptors.</w:t>
      </w:r>
    </w:p>
    <w:p>
      <w:pPr>
        <w:pStyle w:val="Normal"/>
        <w:bidi w:val="0"/>
        <w:jc w:val="start"/>
        <w:rPr/>
      </w:pPr>
      <w:r>
        <w:rPr/>
      </w:r>
    </w:p>
    <w:p>
      <w:pPr>
        <w:pStyle w:val="Normal"/>
        <w:bidi w:val="0"/>
        <w:jc w:val="start"/>
        <w:rPr/>
      </w:pPr>
      <w:r>
        <w:rPr/>
        <w:t>## Troubleshooting Common Lipid-Related Issues</w:t>
      </w:r>
    </w:p>
    <w:p>
      <w:pPr>
        <w:pStyle w:val="Normal"/>
        <w:bidi w:val="0"/>
        <w:jc w:val="start"/>
        <w:rPr/>
      </w:pPr>
      <w:r>
        <w:rPr/>
      </w:r>
    </w:p>
    <w:p>
      <w:pPr>
        <w:pStyle w:val="Normal"/>
        <w:bidi w:val="0"/>
        <w:jc w:val="start"/>
        <w:rPr/>
      </w:pPr>
      <w:r>
        <w:rPr/>
        <w:t>- **Altered Ligand Affinity**: If binding is weaker in yeast, troubleshoot by testing G protein chimeras (e.g., rat Gαs D229S as in Miret et al. 2002) to rule out coupling failures. Supplement lipids and retest; if unresolved, consider yeast strains with engineered lipid pathways.</w:t>
      </w:r>
    </w:p>
    <w:p>
      <w:pPr>
        <w:pStyle w:val="Normal"/>
        <w:bidi w:val="0"/>
        <w:jc w:val="start"/>
        <w:rPr/>
      </w:pPr>
      <w:r>
        <w:rPr/>
      </w:r>
    </w:p>
    <w:p>
      <w:pPr>
        <w:pStyle w:val="Normal"/>
        <w:bidi w:val="0"/>
        <w:jc w:val="start"/>
        <w:rPr/>
      </w:pPr>
      <w:r>
        <w:rPr/>
        <w:t>- **Inconsistent Pharmacology**: For discrepancies like those in opioid GPCRs (Lagane et al. 2000), verify receptor expression levels via Western blotting to ensure they're comparable across systems. Adjust culture conditions (e.g., temperature or media pH) to stabilize membranes.</w:t>
      </w:r>
    </w:p>
    <w:p>
      <w:pPr>
        <w:pStyle w:val="Normal"/>
        <w:bidi w:val="0"/>
        <w:jc w:val="start"/>
        <w:rPr/>
      </w:pPr>
      <w:r>
        <w:rPr/>
      </w:r>
    </w:p>
    <w:p>
      <w:pPr>
        <w:pStyle w:val="Normal"/>
        <w:bidi w:val="0"/>
        <w:jc w:val="start"/>
        <w:rPr/>
      </w:pPr>
      <w:r>
        <w:rPr/>
        <w:t>- **Failure in Complex Receptors**: In cases involving heterodimers (Milligan and White 2001) or RAMPs (Miret et al. 2002), lipid effects may hinder assembly. Co-express components and use fluorescence microscopy to confirm membrane localization.</w:t>
      </w:r>
    </w:p>
    <w:p>
      <w:pPr>
        <w:pStyle w:val="Normal"/>
        <w:bidi w:val="0"/>
        <w:jc w:val="start"/>
        <w:rPr/>
      </w:pPr>
      <w:r>
        <w:rPr/>
      </w:r>
    </w:p>
    <w:p>
      <w:pPr>
        <w:pStyle w:val="Normal"/>
        <w:bidi w:val="0"/>
        <w:jc w:val="start"/>
        <w:rPr/>
      </w:pPr>
      <w:r>
        <w:rPr/>
        <w:t>## Practical Guidance for Overcoming Challenges</w:t>
      </w:r>
    </w:p>
    <w:p>
      <w:pPr>
        <w:pStyle w:val="Normal"/>
        <w:bidi w:val="0"/>
        <w:jc w:val="start"/>
        <w:rPr/>
      </w:pPr>
      <w:r>
        <w:rPr/>
      </w:r>
    </w:p>
    <w:p>
      <w:pPr>
        <w:pStyle w:val="Normal"/>
        <w:bidi w:val="0"/>
        <w:jc w:val="start"/>
        <w:rPr/>
      </w:pPr>
      <w:r>
        <w:rPr/>
        <w:t>When designing yeast assays, assume potential lipid impacts and plan validations early. Start with well-characterized GPCRs like NT1 (Leplatois et al. 2001) to benchmark your system. For HTS, use liquid formats in microtiter plates (Pausch 1997) but interpret hits cautiously, confirming in mammalian cells. Maintain yeast at 30°C in selective media to preserve lipid integrity, and avoid overgrowth that could alter membrane composition. If lipid effects dominate, hybrid approaches—combining yeast for initial screening with mammalian follow-up—maximize efficiency. Ultimately, while yeast simplifies GPCR studies, acknowledging lipid influences ensures accurate pharmacological insights, bridging gaps to native systems.</w:t>
      </w:r>
    </w:p>
    <w:p>
      <w:pPr>
        <w:pStyle w:val="Normal"/>
        <w:bidi w:val="0"/>
        <w:jc w:val="start"/>
        <w:rPr/>
      </w:pPr>
      <w:r>
        <w:rPr/>
      </w:r>
    </w:p>
    <w:p>
      <w:pPr>
        <w:pStyle w:val="Normal"/>
        <w:bidi w:val="0"/>
        <w:jc w:val="start"/>
        <w:rPr/>
      </w:pPr>
      <w:r>
        <w:rPr/>
        <w:t>(Word count: 648)</w:t>
      </w:r>
    </w:p>
    <w:p>
      <w:pPr>
        <w:pStyle w:val="Normal"/>
        <w:bidi w:val="0"/>
        <w:jc w:val="start"/>
        <w:rPr/>
      </w:pPr>
      <w:r>
        <w:rPr/>
      </w:r>
    </w:p>
    <w:p>
      <w:pPr>
        <w:pStyle w:val="Normal"/>
        <w:bidi w:val="0"/>
        <w:jc w:val="start"/>
        <w:rPr/>
      </w:pPr>
      <w:r>
        <w:rPr/>
        <w:t># Section 13: Receptor-Interacting Proteins and Heterodimerization in Yeast</w:t>
      </w:r>
    </w:p>
    <w:p>
      <w:pPr>
        <w:pStyle w:val="Normal"/>
        <w:bidi w:val="0"/>
        <w:jc w:val="start"/>
        <w:rPr/>
      </w:pPr>
      <w:r>
        <w:rPr/>
      </w:r>
    </w:p>
    <w:p>
      <w:pPr>
        <w:pStyle w:val="Normal"/>
        <w:bidi w:val="0"/>
        <w:jc w:val="start"/>
        <w:rPr/>
      </w:pPr>
      <w:r>
        <w:rPr/>
        <w:t>## Introduction to Receptor-Interacting Proteins and Heterodimerization</w:t>
      </w:r>
    </w:p>
    <w:p>
      <w:pPr>
        <w:pStyle w:val="Normal"/>
        <w:bidi w:val="0"/>
        <w:jc w:val="start"/>
        <w:rPr/>
      </w:pPr>
      <w:r>
        <w:rPr/>
      </w:r>
    </w:p>
    <w:p>
      <w:pPr>
        <w:pStyle w:val="Normal"/>
        <w:bidi w:val="0"/>
        <w:jc w:val="start"/>
        <w:rPr/>
      </w:pPr>
      <w:r>
        <w:rPr/>
        <w:t>Receptor-interacting proteins and heterodimerization represent advanced aspects of G protein-coupled receptor (GPCR) function that add complexity to their signaling and pharmacology. Receptor-interacting proteins, such as receptor activity-modifying proteins (RAMPs), associate with GPCRs to modulate their trafficking, ligand specificity, or signaling efficiency. Heterodimerization involves the formation of complexes between two different GPCRs or between a GPCR and an accessory protein, which can create novel pharmacological profiles or enhance functionality. In native systems, these interactions are essential for many GPCRs, but yeast lacks endogenous equivalents, potentially explaining why some heterologous GPCRs fail to couple efficiently to the pheromone-response pathway.</w:t>
      </w:r>
    </w:p>
    <w:p>
      <w:pPr>
        <w:pStyle w:val="Normal"/>
        <w:bidi w:val="0"/>
        <w:jc w:val="start"/>
        <w:rPr/>
      </w:pPr>
      <w:r>
        <w:rPr/>
      </w:r>
    </w:p>
    <w:p>
      <w:pPr>
        <w:pStyle w:val="Normal"/>
        <w:bidi w:val="0"/>
        <w:jc w:val="start"/>
        <w:rPr/>
      </w:pPr>
      <w:r>
        <w:rPr/>
        <w:t>Adapting yeast for these complex systems allows researchers to define minimal functional units in a simplified environment, free from mammalian cellular confounders. A key example is the reconstitution of the calcitonin-receptor-like receptor (CRLR) with RAMPs, demonstrating that yeast can support such assemblies (Miret et al. 2002). This section provides instructional guidance on concepts, procedures for reconstitution, troubleshooting, and practical applications, emphasizing how these elements influence GPCR studies in yeast.</w:t>
      </w:r>
    </w:p>
    <w:p>
      <w:pPr>
        <w:pStyle w:val="Normal"/>
        <w:bidi w:val="0"/>
        <w:jc w:val="start"/>
        <w:rPr/>
      </w:pPr>
      <w:r>
        <w:rPr/>
      </w:r>
    </w:p>
    <w:p>
      <w:pPr>
        <w:pStyle w:val="Normal"/>
        <w:bidi w:val="0"/>
        <w:jc w:val="start"/>
        <w:rPr/>
      </w:pPr>
      <w:r>
        <w:rPr/>
        <w:t>## Concepts of Receptor-Interacting Proteins</w:t>
      </w:r>
    </w:p>
    <w:p>
      <w:pPr>
        <w:pStyle w:val="Normal"/>
        <w:bidi w:val="0"/>
        <w:jc w:val="start"/>
        <w:rPr/>
      </w:pPr>
      <w:r>
        <w:rPr/>
      </w:r>
    </w:p>
    <w:p>
      <w:pPr>
        <w:pStyle w:val="Normal"/>
        <w:bidi w:val="0"/>
        <w:jc w:val="start"/>
        <w:rPr/>
      </w:pPr>
      <w:r>
        <w:rPr/>
        <w:t>Receptor-interacting proteins bind to GPCRs, altering their behavior without being part of the core receptor structure. RAMPs, for instance, are single-transmembrane proteins that interact with CRLR to determine ligand specificity: RAMP1 enables binding to calcitonin gene-related peptide (CGRP), while RAMP2 or RAMP3 facilitates adrenomedullin binding (Miret et al. 2002). These interactions can affect receptor maturation, membrane localization, and pharmacology, as reviewed in Milligan and White (2001).</w:t>
      </w:r>
    </w:p>
    <w:p>
      <w:pPr>
        <w:pStyle w:val="Normal"/>
        <w:bidi w:val="0"/>
        <w:jc w:val="start"/>
        <w:rPr/>
      </w:pPr>
      <w:r>
        <w:rPr/>
      </w:r>
    </w:p>
    <w:p>
      <w:pPr>
        <w:pStyle w:val="Normal"/>
        <w:bidi w:val="0"/>
        <w:jc w:val="start"/>
        <w:rPr/>
      </w:pPr>
      <w:r>
        <w:rPr/>
        <w:t>In yeast, expressing these proteins requires co-transformation with separate vectors, as the host lacks native factors. This approach confirms that CRLR and specific RAMPs are sufficient to form functional receptors, with pharmacology matching mammalian data (Miret et al. 2002). For instructional purposes, recognize that such proteins expand yeast's utility for studying GPCRs that are non-functional in isolation, like CRLR.</w:t>
      </w:r>
    </w:p>
    <w:p>
      <w:pPr>
        <w:pStyle w:val="Normal"/>
        <w:bidi w:val="0"/>
        <w:jc w:val="start"/>
        <w:rPr/>
      </w:pPr>
      <w:r>
        <w:rPr/>
      </w:r>
    </w:p>
    <w:p>
      <w:pPr>
        <w:pStyle w:val="Normal"/>
        <w:bidi w:val="0"/>
        <w:jc w:val="start"/>
        <w:rPr/>
      </w:pPr>
      <w:r>
        <w:rPr/>
        <w:t>## Concepts of GPCR Heterodimerization</w:t>
      </w:r>
    </w:p>
    <w:p>
      <w:pPr>
        <w:pStyle w:val="Normal"/>
        <w:bidi w:val="0"/>
        <w:jc w:val="start"/>
        <w:rPr/>
      </w:pPr>
      <w:r>
        <w:rPr/>
      </w:r>
    </w:p>
    <w:p>
      <w:pPr>
        <w:pStyle w:val="Normal"/>
        <w:bidi w:val="0"/>
        <w:jc w:val="start"/>
        <w:rPr/>
      </w:pPr>
      <w:r>
        <w:rPr/>
        <w:t>Heterodimerization occurs when two GPCRs or a GPCR and an accessory protein form a stable complex, often leading to distinct signaling properties. This can enhance ligand affinity, alter G protein coupling, or create new receptor subtypes (Milligan and White 2001). In mammalian systems, examples include opioid receptor dimers or associations with RAMPs.</w:t>
      </w:r>
    </w:p>
    <w:p>
      <w:pPr>
        <w:pStyle w:val="Normal"/>
        <w:bidi w:val="0"/>
        <w:jc w:val="start"/>
        <w:rPr/>
      </w:pPr>
      <w:r>
        <w:rPr/>
      </w:r>
    </w:p>
    <w:p>
      <w:pPr>
        <w:pStyle w:val="Normal"/>
        <w:bidi w:val="0"/>
        <w:jc w:val="start"/>
        <w:rPr/>
      </w:pPr>
      <w:r>
        <w:rPr/>
        <w:t>Yeast provides a "clean" platform to reconstitute these dimers, isolating their minimal requirements. For CRLR, heterodimerization with RAMPs under specific promoters (e.g., PGK1 for CRLR and ADH1 for RAMPs) yields functional CGRP or adrenomedullin receptors (Miret et al. 2002). This reconstitution highlights yeast's role in validating pharmacological species without interference from undefined mammalian components.</w:t>
      </w:r>
    </w:p>
    <w:p>
      <w:pPr>
        <w:pStyle w:val="Normal"/>
        <w:bidi w:val="0"/>
        <w:jc w:val="start"/>
        <w:rPr/>
      </w:pPr>
      <w:r>
        <w:rPr/>
      </w:r>
    </w:p>
    <w:p>
      <w:pPr>
        <w:pStyle w:val="Normal"/>
        <w:bidi w:val="0"/>
        <w:jc w:val="start"/>
        <w:rPr/>
      </w:pPr>
      <w:r>
        <w:rPr/>
        <w:t>## Procedures for Reconstituting Complex Receptors in Yeast</w:t>
      </w:r>
    </w:p>
    <w:p>
      <w:pPr>
        <w:pStyle w:val="Normal"/>
        <w:bidi w:val="0"/>
        <w:jc w:val="start"/>
        <w:rPr/>
      </w:pPr>
      <w:r>
        <w:rPr/>
      </w:r>
    </w:p>
    <w:p>
      <w:pPr>
        <w:pStyle w:val="Normal"/>
        <w:bidi w:val="0"/>
        <w:jc w:val="start"/>
        <w:rPr/>
      </w:pPr>
      <w:r>
        <w:rPr/>
        <w:t>To set up yeast assays involving receptor-interacting proteins or heterodimerization, follow these step-by-step procedures based on established methods:</w:t>
      </w:r>
    </w:p>
    <w:p>
      <w:pPr>
        <w:pStyle w:val="Normal"/>
        <w:bidi w:val="0"/>
        <w:jc w:val="start"/>
        <w:rPr/>
      </w:pPr>
      <w:r>
        <w:rPr/>
      </w:r>
    </w:p>
    <w:p>
      <w:pPr>
        <w:pStyle w:val="Normal"/>
        <w:bidi w:val="0"/>
        <w:jc w:val="start"/>
        <w:rPr/>
      </w:pPr>
      <w:r>
        <w:rPr/>
        <w:t>1. **Vector Preparation**: Clone the GPCR (e.g., CRLR) into a yeast expression vector under a strong promoter like PGK1. Separately, clone the interacting protein (e.g., RAMP1 for CGRP) into another vector under ADH1. Use integrating vectors for stable expression or episomal for testing.</w:t>
      </w:r>
    </w:p>
    <w:p>
      <w:pPr>
        <w:pStyle w:val="Normal"/>
        <w:bidi w:val="0"/>
        <w:jc w:val="start"/>
        <w:rPr/>
      </w:pPr>
      <w:r>
        <w:rPr/>
      </w:r>
    </w:p>
    <w:p>
      <w:pPr>
        <w:pStyle w:val="Normal"/>
        <w:bidi w:val="0"/>
        <w:jc w:val="start"/>
        <w:rPr/>
      </w:pPr>
      <w:r>
        <w:rPr/>
        <w:t>2. **Co-Transformation**: Transform yeast strains (e.g., with ste2Δ and far1Δ modifications) simultaneously with both plasmids using lithium acetate methods. Select transformants on dual dropout media (e.g., SD-URA-LEU) to maintain both constructs.</w:t>
      </w:r>
    </w:p>
    <w:p>
      <w:pPr>
        <w:pStyle w:val="Normal"/>
        <w:bidi w:val="0"/>
        <w:jc w:val="start"/>
        <w:rPr/>
      </w:pPr>
      <w:r>
        <w:rPr/>
      </w:r>
    </w:p>
    <w:p>
      <w:pPr>
        <w:pStyle w:val="Normal"/>
        <w:bidi w:val="0"/>
        <w:jc w:val="start"/>
        <w:rPr/>
      </w:pPr>
      <w:r>
        <w:rPr/>
        <w:t>3. **G Protein Integration**: Incorporate a compatible G protein chimera, such as rat Gαs D229S (Cadus-type), via an additional plasmid or genomic integration. This enhances coupling to the yeast pathway (Miret et al. 2002).</w:t>
      </w:r>
    </w:p>
    <w:p>
      <w:pPr>
        <w:pStyle w:val="Normal"/>
        <w:bidi w:val="0"/>
        <w:jc w:val="start"/>
        <w:rPr/>
      </w:pPr>
      <w:r>
        <w:rPr/>
      </w:r>
    </w:p>
    <w:p>
      <w:pPr>
        <w:pStyle w:val="Normal"/>
        <w:bidi w:val="0"/>
        <w:jc w:val="start"/>
        <w:rPr/>
      </w:pPr>
      <w:r>
        <w:rPr/>
        <w:t>4. **Expression Verification**: Culture transformants at 30°C in selective media. Confirm co-expression via Western blotting with tagged proteins (e.g., HA-tag on CRLR and FLAG-tag on RAMP). Use immunofluorescence to verify membrane localization.</w:t>
      </w:r>
    </w:p>
    <w:p>
      <w:pPr>
        <w:pStyle w:val="Normal"/>
        <w:bidi w:val="0"/>
        <w:jc w:val="start"/>
        <w:rPr/>
      </w:pPr>
      <w:r>
        <w:rPr/>
      </w:r>
    </w:p>
    <w:p>
      <w:pPr>
        <w:pStyle w:val="Normal"/>
        <w:bidi w:val="0"/>
        <w:jc w:val="start"/>
        <w:rPr/>
      </w:pPr>
      <w:r>
        <w:rPr/>
        <w:t>5. **Functional Assay**: Integrate a reporter like FUS1-lacZ. Add ligands (e.g., CGRP for CRLR/RAMP1) and measure β-galactosidase activity with ONPG substrate. Generate dose-response curves to assess pharmacology, comparing EC50 values to mammalian benchmarks.</w:t>
      </w:r>
    </w:p>
    <w:p>
      <w:pPr>
        <w:pStyle w:val="Normal"/>
        <w:bidi w:val="0"/>
        <w:jc w:val="start"/>
        <w:rPr/>
      </w:pPr>
      <w:r>
        <w:rPr/>
      </w:r>
    </w:p>
    <w:p>
      <w:pPr>
        <w:pStyle w:val="Normal"/>
        <w:bidi w:val="0"/>
        <w:jc w:val="start"/>
        <w:rPr/>
      </w:pPr>
      <w:r>
        <w:rPr/>
        <w:t>6. **Optimization for Heterodimers**: For heterodimerization studies, adjust expression ratios by varying promoters (e.g., MET25 for inducible control) to achieve 1:1 stoichiometry. Test complex formation via co-immunoprecipitation.</w:t>
      </w:r>
    </w:p>
    <w:p>
      <w:pPr>
        <w:pStyle w:val="Normal"/>
        <w:bidi w:val="0"/>
        <w:jc w:val="start"/>
        <w:rPr/>
      </w:pPr>
      <w:r>
        <w:rPr/>
      </w:r>
    </w:p>
    <w:p>
      <w:pPr>
        <w:pStyle w:val="Normal"/>
        <w:bidi w:val="0"/>
        <w:jc w:val="start"/>
        <w:rPr/>
      </w:pPr>
      <w:r>
        <w:rPr/>
        <w:t>These procedures enable reconstitution of systems like CRLR/RAMP, where co-expression yields functional receptors with accurate pharmacology (Miret et al. 2002).</w:t>
      </w:r>
    </w:p>
    <w:p>
      <w:pPr>
        <w:pStyle w:val="Normal"/>
        <w:bidi w:val="0"/>
        <w:jc w:val="start"/>
        <w:rPr/>
      </w:pPr>
      <w:r>
        <w:rPr/>
      </w:r>
    </w:p>
    <w:p>
      <w:pPr>
        <w:pStyle w:val="Normal"/>
        <w:bidi w:val="0"/>
        <w:jc w:val="start"/>
        <w:rPr/>
      </w:pPr>
      <w:r>
        <w:rPr/>
        <w:t>## Challenges and Troubleshooting</w:t>
      </w:r>
    </w:p>
    <w:p>
      <w:pPr>
        <w:pStyle w:val="Normal"/>
        <w:bidi w:val="0"/>
        <w:jc w:val="start"/>
        <w:rPr/>
      </w:pPr>
      <w:r>
        <w:rPr/>
      </w:r>
    </w:p>
    <w:p>
      <w:pPr>
        <w:pStyle w:val="Normal"/>
        <w:bidi w:val="0"/>
        <w:jc w:val="start"/>
        <w:rPr/>
      </w:pPr>
      <w:r>
        <w:rPr/>
        <w:t>Challenges include inefficient complex formation due to yeast's lipid composition, which may affect dimer stability (Lagane et al. 2000), or mismatched expression levels leading to non-functional monomers. Heterodimers may also exhibit altered specificity, complicating coupling.</w:t>
      </w:r>
    </w:p>
    <w:p>
      <w:pPr>
        <w:pStyle w:val="Normal"/>
        <w:bidi w:val="0"/>
        <w:jc w:val="start"/>
        <w:rPr/>
      </w:pPr>
      <w:r>
        <w:rPr/>
      </w:r>
    </w:p>
    <w:p>
      <w:pPr>
        <w:pStyle w:val="Normal"/>
        <w:bidi w:val="0"/>
        <w:jc w:val="start"/>
        <w:rPr/>
      </w:pPr>
      <w:r>
        <w:rPr/>
        <w:t>Troubleshoot as follows:</w:t>
      </w:r>
    </w:p>
    <w:p>
      <w:pPr>
        <w:pStyle w:val="Normal"/>
        <w:bidi w:val="0"/>
        <w:jc w:val="start"/>
        <w:rPr/>
      </w:pPr>
      <w:r>
        <w:rPr/>
        <w:t>- **Poor Co-Expression**: If one protein dominates, switch to inducible promoters like MET25 for RAMPs (Hegner et al. 1999) to balance levels. Verify via quantitative PCR or blotting.</w:t>
      </w:r>
    </w:p>
    <w:p>
      <w:pPr>
        <w:pStyle w:val="Normal"/>
        <w:bidi w:val="0"/>
        <w:jc w:val="start"/>
        <w:rPr/>
      </w:pPr>
      <w:r>
        <w:rPr/>
        <w:t>- **Coupling Failures**: Test alternative chimeras (e.g., mutate D229S in Gαs) if signal transduction is weak (Baranski et al. 1999). Supplement media with lipids to mimic mammalian environments.</w:t>
      </w:r>
    </w:p>
    <w:p>
      <w:pPr>
        <w:pStyle w:val="Normal"/>
        <w:bidi w:val="0"/>
        <w:jc w:val="start"/>
        <w:rPr/>
      </w:pPr>
      <w:r>
        <w:rPr/>
        <w:t>- **Pharmacology Discrepancies**: Compare yeast data to mammalian cells; discrepancies may stem from undefined factors (Milligan and White 2001). Reconstitute in yeast to isolate minimal units.</w:t>
      </w:r>
    </w:p>
    <w:p>
      <w:pPr>
        <w:pStyle w:val="Normal"/>
        <w:bidi w:val="0"/>
        <w:jc w:val="start"/>
        <w:rPr/>
      </w:pPr>
      <w:r>
        <w:rPr/>
        <w:t>- **Toxicity**: Reduce expression with weaker promoters if dimers cause growth defects.</w:t>
      </w:r>
    </w:p>
    <w:p>
      <w:pPr>
        <w:pStyle w:val="Normal"/>
        <w:bidi w:val="0"/>
        <w:jc w:val="start"/>
        <w:rPr/>
      </w:pPr>
      <w:r>
        <w:rPr/>
      </w:r>
    </w:p>
    <w:p>
      <w:pPr>
        <w:pStyle w:val="Normal"/>
        <w:bidi w:val="0"/>
        <w:jc w:val="start"/>
        <w:rPr/>
      </w:pPr>
      <w:r>
        <w:rPr/>
        <w:t>## Practical Guidance for Yeast-Based Studies</w:t>
      </w:r>
    </w:p>
    <w:p>
      <w:pPr>
        <w:pStyle w:val="Normal"/>
        <w:bidi w:val="0"/>
        <w:jc w:val="start"/>
        <w:rPr/>
      </w:pPr>
      <w:r>
        <w:rPr/>
      </w:r>
    </w:p>
    <w:p>
      <w:pPr>
        <w:pStyle w:val="Normal"/>
        <w:bidi w:val="0"/>
        <w:jc w:val="start"/>
        <w:rPr/>
      </w:pPr>
      <w:r>
        <w:rPr/>
        <w:t>Start with well-documented examples like CRLR/RAMP (Miret et al. 2002) to benchmark your system. Culture in YEPD or synthetic media at 30°C, ensuring plasmid stability through selection. For high-throughput applications, scale to microtiter plates for ligand screening (Pausch 1997), using growth or lacZ readouts to identify agonists for dimerized receptors.</w:t>
      </w:r>
    </w:p>
    <w:p>
      <w:pPr>
        <w:pStyle w:val="Normal"/>
        <w:bidi w:val="0"/>
        <w:jc w:val="start"/>
        <w:rPr/>
      </w:pPr>
      <w:r>
        <w:rPr/>
      </w:r>
    </w:p>
    <w:p>
      <w:pPr>
        <w:pStyle w:val="Normal"/>
        <w:bidi w:val="0"/>
        <w:jc w:val="start"/>
        <w:rPr/>
      </w:pPr>
      <w:r>
        <w:rPr/>
        <w:t>Yeast's simplicity aids in defining essential components for heterodimerization, as with CRLR confirming RAMPs' roles (Miret et al. 2002). Combine with G protein engineering (e.g., transplants for fungal GPCRs like Rcb1; Olesnicky et al. 1999) for broader applicability. Validate findings in mammalian systems to address lipid effects (Lagane et al. 2000). This approach enhances yeast's value for dissecting complex GPCR interactions, supporting drug discovery and mechanistic research.</w:t>
      </w:r>
    </w:p>
    <w:p>
      <w:pPr>
        <w:pStyle w:val="Normal"/>
        <w:bidi w:val="0"/>
        <w:jc w:val="start"/>
        <w:rPr/>
      </w:pPr>
      <w:r>
        <w:rPr/>
      </w:r>
    </w:p>
    <w:p>
      <w:pPr>
        <w:pStyle w:val="Normal"/>
        <w:bidi w:val="0"/>
        <w:jc w:val="start"/>
        <w:rPr/>
      </w:pPr>
      <w:r>
        <w:rPr/>
        <w:t>(Word count: 752)</w:t>
      </w:r>
    </w:p>
    <w:p>
      <w:pPr>
        <w:pStyle w:val="Normal"/>
        <w:bidi w:val="0"/>
        <w:jc w:val="start"/>
        <w:rPr/>
      </w:pPr>
      <w:r>
        <w:rPr/>
      </w:r>
    </w:p>
    <w:p>
      <w:pPr>
        <w:pStyle w:val="Normal"/>
        <w:bidi w:val="0"/>
        <w:jc w:val="start"/>
        <w:rPr/>
      </w:pPr>
      <w:r>
        <w:rPr/>
        <w:t># Section 14: Reconstitution of Complex Receptors like CRLR with RAMPs</w:t>
      </w:r>
    </w:p>
    <w:p>
      <w:pPr>
        <w:pStyle w:val="Normal"/>
        <w:bidi w:val="0"/>
        <w:jc w:val="start"/>
        <w:rPr/>
      </w:pPr>
      <w:r>
        <w:rPr/>
      </w:r>
    </w:p>
    <w:p>
      <w:pPr>
        <w:pStyle w:val="Normal"/>
        <w:bidi w:val="0"/>
        <w:jc w:val="start"/>
        <w:rPr/>
      </w:pPr>
      <w:r>
        <w:rPr/>
        <w:t>## Overview of Complex Receptors and Their Reconstitution in Yeast</w:t>
      </w:r>
    </w:p>
    <w:p>
      <w:pPr>
        <w:pStyle w:val="Normal"/>
        <w:bidi w:val="0"/>
        <w:jc w:val="start"/>
        <w:rPr/>
      </w:pPr>
      <w:r>
        <w:rPr/>
      </w:r>
    </w:p>
    <w:p>
      <w:pPr>
        <w:pStyle w:val="Normal"/>
        <w:bidi w:val="0"/>
        <w:jc w:val="start"/>
        <w:rPr/>
      </w:pPr>
      <w:r>
        <w:rPr/>
        <w:t>Complex receptors, such as the calcitonin-receptor-like receptor (CRLR), represent a class of G protein-coupled receptors (GPCRs) that require association with accessory proteins to achieve full functionality, including proper trafficking, ligand specificity, and signaling. In native mammalian systems, CRLR is non-functional when expressed alone but forms distinct pharmacological entities upon heterodimerization with receptor activity-modifying proteins (RAMPs). Specifically, CRLR paired with RAMP1 creates a receptor for calcitonin gene-related peptide (CGRP), while pairings with RAMP2 or RAMP3 yield adrenomedullin receptors. These interactions highlight the role of heterodimerization in generating novel receptor subtypes, as reviewed in studies on GPCR associations (Milligan and White 2001).</w:t>
      </w:r>
    </w:p>
    <w:p>
      <w:pPr>
        <w:pStyle w:val="Normal"/>
        <w:bidi w:val="0"/>
        <w:jc w:val="start"/>
        <w:rPr/>
      </w:pPr>
      <w:r>
        <w:rPr/>
      </w:r>
    </w:p>
    <w:p>
      <w:pPr>
        <w:pStyle w:val="Normal"/>
        <w:bidi w:val="0"/>
        <w:jc w:val="start"/>
        <w:rPr/>
      </w:pPr>
      <w:r>
        <w:rPr/>
        <w:t>Yeast (*Saccharomyces cerevisiae*) lacks endogenous equivalents of these accessory proteins, which can explain failures in coupling certain mammalian GPCRs to the pheromone-response pathway. However, yeast's simplified environment makes it an ideal host for reconstituting such complexes, allowing researchers to define the minimal components required for function without interference from undefined mammalian factors. A landmark demonstration involves the successful reconstitution of functional CGRP and adrenomedullin receptors in yeast by co-expressing human CRLR with specific RAMPs, using engineered G protein chimeras (Miret et al. 2002). This approach confirms that CRLR and individual RAMPs are sufficient to replicate mammalian pharmacology, including ligand binding and signal transduction via the yeast MAP kinase cascade. Reconstitution in yeast supports applications like ligand screening and mechanistic studies, providing a cost-effective alternative to mammalian cells.</w:t>
      </w:r>
    </w:p>
    <w:p>
      <w:pPr>
        <w:pStyle w:val="Normal"/>
        <w:bidi w:val="0"/>
        <w:jc w:val="start"/>
        <w:rPr/>
      </w:pPr>
      <w:r>
        <w:rPr/>
      </w:r>
    </w:p>
    <w:p>
      <w:pPr>
        <w:pStyle w:val="Normal"/>
        <w:bidi w:val="0"/>
        <w:jc w:val="start"/>
        <w:rPr/>
      </w:pPr>
      <w:r>
        <w:rPr/>
        <w:t>## Key Components for Reconstitution</w:t>
      </w:r>
    </w:p>
    <w:p>
      <w:pPr>
        <w:pStyle w:val="Normal"/>
        <w:bidi w:val="0"/>
        <w:jc w:val="start"/>
        <w:rPr/>
      </w:pPr>
      <w:r>
        <w:rPr/>
      </w:r>
    </w:p>
    <w:p>
      <w:pPr>
        <w:pStyle w:val="Normal"/>
        <w:bidi w:val="0"/>
        <w:jc w:val="start"/>
        <w:rPr/>
      </w:pPr>
      <w:r>
        <w:rPr/>
        <w:t>To reconstitute complex receptors like CRLR, focus on co-expression of the core GPCR and its interacting proteins, alongside compatible G protein modifications. For CRLR:</w:t>
      </w:r>
    </w:p>
    <w:p>
      <w:pPr>
        <w:pStyle w:val="Normal"/>
        <w:bidi w:val="0"/>
        <w:jc w:val="start"/>
        <w:rPr/>
      </w:pPr>
      <w:r>
        <w:rPr/>
      </w:r>
    </w:p>
    <w:p>
      <w:pPr>
        <w:pStyle w:val="Normal"/>
        <w:bidi w:val="0"/>
        <w:jc w:val="start"/>
        <w:rPr/>
      </w:pPr>
      <w:r>
        <w:rPr/>
        <w:t>- **CRLR**: A seven-transmembrane GPCR that serves as the core signaling unit.</w:t>
      </w:r>
    </w:p>
    <w:p>
      <w:pPr>
        <w:pStyle w:val="Normal"/>
        <w:bidi w:val="0"/>
        <w:jc w:val="start"/>
        <w:rPr/>
      </w:pPr>
      <w:r>
        <w:rPr/>
        <w:t>- **RAMPs**: Single-transmembrane accessory proteins (RAMP1, RAMP2, or RAMP3) that modify CRLR's pharmacology. RAMP1 enables CGRP binding, while RAMP2/3 facilitate adrenomedullin responses.</w:t>
      </w:r>
    </w:p>
    <w:p>
      <w:pPr>
        <w:pStyle w:val="Normal"/>
        <w:bidi w:val="0"/>
        <w:jc w:val="start"/>
        <w:rPr/>
      </w:pPr>
      <w:r>
        <w:rPr/>
        <w:t>- **G Protein Chimera**: A Cadus-type variant, such as rat Gαs with the D229S mutation, enhances coupling to the yeast pathway by alleviating specificity restrictions (e.g., from Asp229 residue; Baranski et al. 1999; Miret et al. 2002).</w:t>
      </w:r>
    </w:p>
    <w:p>
      <w:pPr>
        <w:pStyle w:val="Normal"/>
        <w:bidi w:val="0"/>
        <w:jc w:val="start"/>
        <w:rPr/>
      </w:pPr>
      <w:r>
        <w:rPr/>
        <w:t>- **Yeast Pathway Integration**: The reconstituted receptor activates the native Gβγ (Ste4/Ste18)-driven MAP kinase cascade, leading to reporter gene induction (e.g., FUS1-lacZ).</w:t>
      </w:r>
    </w:p>
    <w:p>
      <w:pPr>
        <w:pStyle w:val="Normal"/>
        <w:bidi w:val="0"/>
        <w:jc w:val="start"/>
        <w:rPr/>
      </w:pPr>
      <w:r>
        <w:rPr/>
      </w:r>
    </w:p>
    <w:p>
      <w:pPr>
        <w:pStyle w:val="Normal"/>
        <w:bidi w:val="0"/>
        <w:jc w:val="start"/>
        <w:rPr/>
      </w:pPr>
      <w:r>
        <w:rPr/>
        <w:t>This setup leverages yeast's genetic tools to isolate functional complexes, as yeast expression confirms the sufficiency of these components for pharmacology matching mammalian data (Miret et al. 2002).</w:t>
      </w:r>
    </w:p>
    <w:p>
      <w:pPr>
        <w:pStyle w:val="Normal"/>
        <w:bidi w:val="0"/>
        <w:jc w:val="start"/>
        <w:rPr/>
      </w:pPr>
      <w:r>
        <w:rPr/>
      </w:r>
    </w:p>
    <w:p>
      <w:pPr>
        <w:pStyle w:val="Normal"/>
        <w:bidi w:val="0"/>
        <w:jc w:val="start"/>
        <w:rPr/>
      </w:pPr>
      <w:r>
        <w:rPr/>
        <w:t>## Step-by-Step Procedures for Reconstitution</w:t>
      </w:r>
    </w:p>
    <w:p>
      <w:pPr>
        <w:pStyle w:val="Normal"/>
        <w:bidi w:val="0"/>
        <w:jc w:val="start"/>
        <w:rPr/>
      </w:pPr>
      <w:r>
        <w:rPr/>
      </w:r>
    </w:p>
    <w:p>
      <w:pPr>
        <w:pStyle w:val="Normal"/>
        <w:bidi w:val="0"/>
        <w:jc w:val="start"/>
        <w:rPr/>
      </w:pPr>
      <w:r>
        <w:rPr/>
        <w:t>Follow these instructional steps to reconstitute CRLR with RAMPs in yeast, based on established protocols (Miret et al. 2002):</w:t>
      </w:r>
    </w:p>
    <w:p>
      <w:pPr>
        <w:pStyle w:val="Normal"/>
        <w:bidi w:val="0"/>
        <w:jc w:val="start"/>
        <w:rPr/>
      </w:pPr>
      <w:r>
        <w:rPr/>
      </w:r>
    </w:p>
    <w:p>
      <w:pPr>
        <w:pStyle w:val="Normal"/>
        <w:bidi w:val="0"/>
        <w:jc w:val="start"/>
        <w:rPr/>
      </w:pPr>
      <w:r>
        <w:rPr/>
        <w:t>1. **Vector Construction**:</w:t>
      </w:r>
    </w:p>
    <w:p>
      <w:pPr>
        <w:pStyle w:val="Normal"/>
        <w:bidi w:val="0"/>
        <w:jc w:val="start"/>
        <w:rPr/>
      </w:pPr>
      <w:r>
        <w:rPr/>
        <w:t xml:space="preserve">   </w:t>
      </w:r>
      <w:r>
        <w:rPr/>
        <w:t>- Clone the human CRLR gene into a yeast expression vector (e.g., integrating type) under a strong constitutive promoter like PGK1 for high-level expression.</w:t>
      </w:r>
    </w:p>
    <w:p>
      <w:pPr>
        <w:pStyle w:val="Normal"/>
        <w:bidi w:val="0"/>
        <w:jc w:val="start"/>
        <w:rPr/>
      </w:pPr>
      <w:r>
        <w:rPr/>
        <w:t xml:space="preserve">   </w:t>
      </w:r>
      <w:r>
        <w:rPr/>
        <w:t>- Separately, clone the RAMP gene (e.g., RAMP1 for CGRP receptor) into another vector under the ADH1 promoter. Use selectable markers (e.g., URA3 for CRLR vector, LEU2 for RAMP vector) to enable dual selection.</w:t>
      </w:r>
    </w:p>
    <w:p>
      <w:pPr>
        <w:pStyle w:val="Normal"/>
        <w:bidi w:val="0"/>
        <w:jc w:val="start"/>
        <w:rPr/>
      </w:pPr>
      <w:r>
        <w:rPr/>
        <w:t xml:space="preserve">   </w:t>
      </w:r>
      <w:r>
        <w:rPr/>
        <w:t>- Prepare a third construct for the G protein chimera: Fuse yeast Gpa1 with rat Gαs sequences, incorporating the D229S mutation via site-directed mutagenesis. Express under a compatible promoter like PGK1.</w:t>
      </w:r>
    </w:p>
    <w:p>
      <w:pPr>
        <w:pStyle w:val="Normal"/>
        <w:bidi w:val="0"/>
        <w:jc w:val="start"/>
        <w:rPr/>
      </w:pPr>
      <w:r>
        <w:rPr/>
      </w:r>
    </w:p>
    <w:p>
      <w:pPr>
        <w:pStyle w:val="Normal"/>
        <w:bidi w:val="0"/>
        <w:jc w:val="start"/>
        <w:rPr/>
      </w:pPr>
      <w:r>
        <w:rPr/>
        <w:t>2. **Yeast Strain Preparation**:</w:t>
      </w:r>
    </w:p>
    <w:p>
      <w:pPr>
        <w:pStyle w:val="Normal"/>
        <w:bidi w:val="0"/>
        <w:jc w:val="start"/>
        <w:rPr/>
      </w:pPr>
      <w:r>
        <w:rPr/>
        <w:t xml:space="preserve">   </w:t>
      </w:r>
      <w:r>
        <w:rPr/>
        <w:t>- Select a modified yeast strain with deletions such as ste2Δ (to eliminate native receptor interference) and far1Δ (to prevent cell cycle arrest, enhancing growth-based readouts). Integrate a reporter like FUS1-lacZ or FUS1-HIS3 for signal detection.</w:t>
      </w:r>
    </w:p>
    <w:p>
      <w:pPr>
        <w:pStyle w:val="Normal"/>
        <w:bidi w:val="0"/>
        <w:jc w:val="start"/>
        <w:rPr/>
      </w:pPr>
      <w:r>
        <w:rPr/>
      </w:r>
    </w:p>
    <w:p>
      <w:pPr>
        <w:pStyle w:val="Normal"/>
        <w:bidi w:val="0"/>
        <w:jc w:val="start"/>
        <w:rPr/>
      </w:pPr>
      <w:r>
        <w:rPr/>
        <w:t>3. **Transformation and Co-Expression**:</w:t>
      </w:r>
    </w:p>
    <w:p>
      <w:pPr>
        <w:pStyle w:val="Normal"/>
        <w:bidi w:val="0"/>
        <w:jc w:val="start"/>
        <w:rPr/>
      </w:pPr>
      <w:r>
        <w:rPr/>
        <w:t xml:space="preserve">   </w:t>
      </w:r>
      <w:r>
        <w:rPr/>
        <w:t>- Transform the strain sequentially or simultaneously with the CRLR, RAMP, and G protein chimera plasmids using the lithium acetate method. Plate on dual dropout media (e.g., SD-URA-LEU) to select for transformants maintaining all constructs.</w:t>
      </w:r>
    </w:p>
    <w:p>
      <w:pPr>
        <w:pStyle w:val="Normal"/>
        <w:bidi w:val="0"/>
        <w:jc w:val="start"/>
        <w:rPr/>
      </w:pPr>
      <w:r>
        <w:rPr/>
        <w:t xml:space="preserve">   </w:t>
      </w:r>
      <w:r>
        <w:rPr/>
        <w:t>- Culture transformants at 30°C in selective synthetic media (e.g., YEPD or dropout formulations) to logarithmic phase, ensuring stable co-expression.</w:t>
      </w:r>
    </w:p>
    <w:p>
      <w:pPr>
        <w:pStyle w:val="Normal"/>
        <w:bidi w:val="0"/>
        <w:jc w:val="start"/>
        <w:rPr/>
      </w:pPr>
      <w:r>
        <w:rPr/>
      </w:r>
    </w:p>
    <w:p>
      <w:pPr>
        <w:pStyle w:val="Normal"/>
        <w:bidi w:val="0"/>
        <w:jc w:val="start"/>
        <w:rPr/>
      </w:pPr>
      <w:r>
        <w:rPr/>
        <w:t>4. **Verification of Complex Formation**:</w:t>
      </w:r>
    </w:p>
    <w:p>
      <w:pPr>
        <w:pStyle w:val="Normal"/>
        <w:bidi w:val="0"/>
        <w:jc w:val="start"/>
        <w:rPr/>
      </w:pPr>
      <w:r>
        <w:rPr/>
        <w:t xml:space="preserve">   </w:t>
      </w:r>
      <w:r>
        <w:rPr/>
        <w:t>- Confirm protein expression and localization via Western blotting with epitope-tagged versions (e.g., HA-tag on CRLR, FLAG-tag on RAMP). Lyse cells, separate membrane fractions by centrifugation, and probe blots.</w:t>
      </w:r>
    </w:p>
    <w:p>
      <w:pPr>
        <w:pStyle w:val="Normal"/>
        <w:bidi w:val="0"/>
        <w:jc w:val="start"/>
        <w:rPr/>
      </w:pPr>
      <w:r>
        <w:rPr/>
        <w:t xml:space="preserve">   </w:t>
      </w:r>
      <w:r>
        <w:rPr/>
        <w:t>- Assess heterodimerization through co-immunoprecipitation: Pull down one tagged protein and detect the other via immunoblotting.</w:t>
      </w:r>
    </w:p>
    <w:p>
      <w:pPr>
        <w:pStyle w:val="Normal"/>
        <w:bidi w:val="0"/>
        <w:jc w:val="start"/>
        <w:rPr/>
      </w:pPr>
      <w:r>
        <w:rPr/>
        <w:t xml:space="preserve">   </w:t>
      </w:r>
      <w:r>
        <w:rPr/>
        <w:t>- Use immunofluorescence microscopy to verify co-localization in the plasma membrane.</w:t>
      </w:r>
    </w:p>
    <w:p>
      <w:pPr>
        <w:pStyle w:val="Normal"/>
        <w:bidi w:val="0"/>
        <w:jc w:val="start"/>
        <w:rPr/>
      </w:pPr>
      <w:r>
        <w:rPr/>
      </w:r>
    </w:p>
    <w:p>
      <w:pPr>
        <w:pStyle w:val="Normal"/>
        <w:bidi w:val="0"/>
        <w:jc w:val="start"/>
        <w:rPr/>
      </w:pPr>
      <w:r>
        <w:rPr/>
        <w:t>5. **Functional Testing**:</w:t>
      </w:r>
    </w:p>
    <w:p>
      <w:pPr>
        <w:pStyle w:val="Normal"/>
        <w:bidi w:val="0"/>
        <w:jc w:val="start"/>
        <w:rPr/>
      </w:pPr>
      <w:r>
        <w:rPr/>
        <w:t xml:space="preserve">   </w:t>
      </w:r>
      <w:r>
        <w:rPr/>
        <w:t>- Seed cells in microtiter plates or agar for assays. Add ligands (e.g., CGRP for CRLR/RAMP1; adrenomedullin for CRLR/RAMP2/3) in dose-response series.</w:t>
      </w:r>
    </w:p>
    <w:p>
      <w:pPr>
        <w:pStyle w:val="Normal"/>
        <w:bidi w:val="0"/>
        <w:jc w:val="start"/>
        <w:rPr/>
      </w:pPr>
      <w:r>
        <w:rPr/>
        <w:t xml:space="preserve">   </w:t>
      </w:r>
      <w:r>
        <w:rPr/>
        <w:t>- Measure activation: For lacZ reporter, incubate with ONPG substrate and quantify β-galactosidase activity spectrophotometrically. For HIS3, monitor growth on histidine-deficient media.</w:t>
      </w:r>
    </w:p>
    <w:p>
      <w:pPr>
        <w:pStyle w:val="Normal"/>
        <w:bidi w:val="0"/>
        <w:jc w:val="start"/>
        <w:rPr/>
      </w:pPr>
      <w:r>
        <w:rPr/>
      </w:r>
    </w:p>
    <w:p>
      <w:pPr>
        <w:pStyle w:val="Normal"/>
        <w:bidi w:val="0"/>
        <w:jc w:val="start"/>
        <w:rPr/>
      </w:pPr>
      <w:r>
        <w:rPr/>
        <w:t>These procedures yield functional receptors with pharmacology (e.g., EC50 values) aligning with mammalian systems, as demonstrated for CGRP and adrenomedullin responses (Miret et al. 2002).</w:t>
      </w:r>
    </w:p>
    <w:p>
      <w:pPr>
        <w:pStyle w:val="Normal"/>
        <w:bidi w:val="0"/>
        <w:jc w:val="start"/>
        <w:rPr/>
      </w:pPr>
      <w:r>
        <w:rPr/>
      </w:r>
    </w:p>
    <w:p>
      <w:pPr>
        <w:pStyle w:val="Normal"/>
        <w:bidi w:val="0"/>
        <w:jc w:val="start"/>
        <w:rPr/>
      </w:pPr>
      <w:r>
        <w:rPr/>
        <w:t>## Challenges in Reconstitution</w:t>
      </w:r>
    </w:p>
    <w:p>
      <w:pPr>
        <w:pStyle w:val="Normal"/>
        <w:bidi w:val="0"/>
        <w:jc w:val="start"/>
        <w:rPr/>
      </w:pPr>
      <w:r>
        <w:rPr/>
      </w:r>
    </w:p>
    <w:p>
      <w:pPr>
        <w:pStyle w:val="Normal"/>
        <w:bidi w:val="0"/>
        <w:jc w:val="start"/>
        <w:rPr/>
      </w:pPr>
      <w:r>
        <w:rPr/>
        <w:t>Reconstitution can face hurdles like inefficient heterodimer formation due to mismatched expression levels or yeast's distinct lipid composition, which may alter complex stability and pharmacology (Lagane et al. 2000; Milligan and White 2001). Poor coupling might stem from G protein incompatibility, and toxicity from overexpression can inhibit growth.</w:t>
      </w:r>
    </w:p>
    <w:p>
      <w:pPr>
        <w:pStyle w:val="Normal"/>
        <w:bidi w:val="0"/>
        <w:jc w:val="start"/>
        <w:rPr/>
      </w:pPr>
      <w:r>
        <w:rPr/>
      </w:r>
    </w:p>
    <w:p>
      <w:pPr>
        <w:pStyle w:val="Normal"/>
        <w:bidi w:val="0"/>
        <w:jc w:val="start"/>
        <w:rPr/>
      </w:pPr>
      <w:r>
        <w:rPr/>
        <w:t>## Troubleshooting Common Issues</w:t>
      </w:r>
    </w:p>
    <w:p>
      <w:pPr>
        <w:pStyle w:val="Normal"/>
        <w:bidi w:val="0"/>
        <w:jc w:val="start"/>
        <w:rPr/>
      </w:pPr>
      <w:r>
        <w:rPr/>
      </w:r>
    </w:p>
    <w:p>
      <w:pPr>
        <w:pStyle w:val="Normal"/>
        <w:bidi w:val="0"/>
        <w:jc w:val="start"/>
        <w:rPr/>
      </w:pPr>
      <w:r>
        <w:rPr/>
        <w:t>- **Inefficient Dimerization**: Balance expression by switching to inducible promoters like MET25 for RAMPs if ADH1 leads to imbalances (Hegner et al. 1999). Retest ratios via quantitative blotting.</w:t>
      </w:r>
    </w:p>
    <w:p>
      <w:pPr>
        <w:pStyle w:val="Normal"/>
        <w:bidi w:val="0"/>
        <w:jc w:val="start"/>
        <w:rPr/>
      </w:pPr>
      <w:r>
        <w:rPr/>
        <w:t>- **Coupling Failures**: If signal is weak, mutate restrictive residues (e.g., D229S in Gαs) or test alternative chimeras like Kang-type fusions (Price et al. 1995, 1996). Verify Gβγ interactions via co-immunoprecipitation.</w:t>
      </w:r>
    </w:p>
    <w:p>
      <w:pPr>
        <w:pStyle w:val="Normal"/>
        <w:bidi w:val="0"/>
        <w:jc w:val="start"/>
        <w:rPr/>
      </w:pPr>
      <w:r>
        <w:rPr/>
        <w:t>- **Pharmacology Discrepancies**: Supplement media with mammalian-like lipids (e.g., cholesterol) to mitigate yeast ergosterol effects (Lagane et al. 2000). Compare yeast data to mammalian cell assays for validation.</w:t>
      </w:r>
    </w:p>
    <w:p>
      <w:pPr>
        <w:pStyle w:val="Normal"/>
        <w:bidi w:val="0"/>
        <w:jc w:val="start"/>
        <w:rPr/>
      </w:pPr>
      <w:r>
        <w:rPr/>
        <w:t>- **Toxicity or Low Viability**: Reduce expression with weaker promoters or use episomal vectors for titration. Culture at optimal 30°C and monitor plasmid stability in selective media.</w:t>
      </w:r>
    </w:p>
    <w:p>
      <w:pPr>
        <w:pStyle w:val="Normal"/>
        <w:bidi w:val="0"/>
        <w:jc w:val="start"/>
        <w:rPr/>
      </w:pPr>
      <w:r>
        <w:rPr/>
        <w:t>- **No Signal Detection**: Ensure reporter integration and test with positive controls like native pheromone responses.</w:t>
      </w:r>
    </w:p>
    <w:p>
      <w:pPr>
        <w:pStyle w:val="Normal"/>
        <w:bidi w:val="0"/>
        <w:jc w:val="start"/>
        <w:rPr/>
      </w:pPr>
      <w:r>
        <w:rPr/>
      </w:r>
    </w:p>
    <w:p>
      <w:pPr>
        <w:pStyle w:val="Normal"/>
        <w:bidi w:val="0"/>
        <w:jc w:val="start"/>
        <w:rPr/>
      </w:pPr>
      <w:r>
        <w:rPr/>
        <w:t>## Practical Guidance and Applications</w:t>
      </w:r>
    </w:p>
    <w:p>
      <w:pPr>
        <w:pStyle w:val="Normal"/>
        <w:bidi w:val="0"/>
        <w:jc w:val="start"/>
        <w:rPr/>
      </w:pPr>
      <w:r>
        <w:rPr/>
      </w:r>
    </w:p>
    <w:p>
      <w:pPr>
        <w:pStyle w:val="Normal"/>
        <w:bidi w:val="0"/>
        <w:jc w:val="start"/>
        <w:rPr/>
      </w:pPr>
      <w:r>
        <w:rPr/>
        <w:t>Begin with validated components: Use PGK1 for CRLR, ADH1 for RAMPs, and rat Gαs D229S chimera, as per Miret et al. (2002). Maintain cultures in fresh selective media to prevent plasmid loss, and scale for high-throughput screening by miniaturizing in 96- or 384-well plates for agonist identification (Pausch 1997; Brown et al. 2000). This reconstitution method extends to other complex GPCRs, aiding in defining minimal functional units and supporting drug discovery. For example, it confirms RAMPs' role in CRLR pharmacology without mammalian confounders (Miret et al.</w:t>
      </w:r>
    </w:p>
    <w:p>
      <w:pPr>
        <w:pStyle w:val="Normal"/>
        <w:bidi w:val="0"/>
        <w:jc w:val="start"/>
        <w:rPr/>
      </w:pPr>
      <w:r>
        <w:rPr/>
      </w:r>
    </w:p>
    <w:p>
      <w:pPr>
        <w:pStyle w:val="Normal"/>
        <w:bidi w:val="0"/>
        <w:jc w:val="start"/>
        <w:rPr/>
      </w:pPr>
      <w:r>
        <w:rPr/>
        <w:t># Section 15: Procedures for Setting Up Yeast-Based GPCR Assays</w:t>
      </w:r>
    </w:p>
    <w:p>
      <w:pPr>
        <w:pStyle w:val="Normal"/>
        <w:bidi w:val="0"/>
        <w:jc w:val="start"/>
        <w:rPr/>
      </w:pPr>
      <w:r>
        <w:rPr/>
      </w:r>
    </w:p>
    <w:p>
      <w:pPr>
        <w:pStyle w:val="Normal"/>
        <w:bidi w:val="0"/>
        <w:jc w:val="start"/>
        <w:rPr/>
      </w:pPr>
      <w:r>
        <w:rPr/>
        <w:t>## Overview of Yeast-Based GPCR Assay Setup</w:t>
      </w:r>
    </w:p>
    <w:p>
      <w:pPr>
        <w:pStyle w:val="Normal"/>
        <w:bidi w:val="0"/>
        <w:jc w:val="start"/>
        <w:rPr/>
      </w:pPr>
      <w:r>
        <w:rPr/>
      </w:r>
    </w:p>
    <w:p>
      <w:pPr>
        <w:pStyle w:val="Normal"/>
        <w:bidi w:val="0"/>
        <w:jc w:val="start"/>
        <w:rPr/>
      </w:pPr>
      <w:r>
        <w:rPr/>
        <w:t>Setting up yeast-based assays for G protein-coupled receptors (GPCRs) involves engineering *Saccharomyces cerevisiae* strains to express heterologous GPCRs coupled to the pheromone-response pathway. This enables ligand-induced activation to be detected through simple readouts like reporter gene expression or cell growth. The process leverages yeast's genetic tractability, using modified strains, expression vectors, and G protein chimeras to facilitate functional studies. Key examples include coupling mammalian receptors like neurotensin NT1 (Leplatois et al. 2001) or fungal receptors like Rcb1 from *Coprinus cinereus* (Olesnicky et al. 1999). These assays are cost-effective for high-throughput screening (HTS) of agonists, with positive signals indicating activation. Follow these procedures to establish a basic assay, ensuring all components are verified before scaling. Always culture at 30°C in selective media to maintain viability and plasmid stability.</w:t>
      </w:r>
    </w:p>
    <w:p>
      <w:pPr>
        <w:pStyle w:val="Normal"/>
        <w:bidi w:val="0"/>
        <w:jc w:val="start"/>
        <w:rPr/>
      </w:pPr>
      <w:r>
        <w:rPr/>
      </w:r>
    </w:p>
    <w:p>
      <w:pPr>
        <w:pStyle w:val="Normal"/>
        <w:bidi w:val="0"/>
        <w:jc w:val="start"/>
        <w:rPr/>
      </w:pPr>
      <w:r>
        <w:rPr/>
        <w:t>## Step 1: Strain Selection and Preparation</w:t>
      </w:r>
    </w:p>
    <w:p>
      <w:pPr>
        <w:pStyle w:val="Normal"/>
        <w:bidi w:val="0"/>
        <w:jc w:val="start"/>
        <w:rPr/>
      </w:pPr>
      <w:r>
        <w:rPr/>
      </w:r>
    </w:p>
    <w:p>
      <w:pPr>
        <w:pStyle w:val="Normal"/>
        <w:bidi w:val="0"/>
        <w:jc w:val="start"/>
        <w:rPr/>
      </w:pPr>
      <w:r>
        <w:rPr/>
        <w:t>Select a suitable yeast strain as the foundation for the assay. Base strains should include deletions to optimize signaling and reduce interference:</w:t>
      </w:r>
    </w:p>
    <w:p>
      <w:pPr>
        <w:pStyle w:val="Normal"/>
        <w:bidi w:val="0"/>
        <w:jc w:val="start"/>
        <w:rPr/>
      </w:pPr>
      <w:r>
        <w:rPr/>
      </w:r>
    </w:p>
    <w:p>
      <w:pPr>
        <w:pStyle w:val="Normal"/>
        <w:bidi w:val="0"/>
        <w:jc w:val="start"/>
        <w:rPr/>
      </w:pPr>
      <w:r>
        <w:rPr/>
        <w:t>- Use strains with *ste2Δ* or *ste3Δ* to eliminate native pheromone receptors, preventing background activation.</w:t>
      </w:r>
    </w:p>
    <w:p>
      <w:pPr>
        <w:pStyle w:val="Normal"/>
        <w:bidi w:val="0"/>
        <w:jc w:val="start"/>
        <w:rPr/>
      </w:pPr>
      <w:r>
        <w:rPr/>
        <w:t>- Incorporate *far1Δ* to avoid cell cycle arrest upon pathway activation, which enhances growth-based readouts (e.g., as in strains for CRLR reconstitution; Miret et al. 2002).</w:t>
      </w:r>
    </w:p>
    <w:p>
      <w:pPr>
        <w:pStyle w:val="Normal"/>
        <w:bidi w:val="0"/>
        <w:jc w:val="start"/>
        <w:rPr/>
      </w:pPr>
      <w:r>
        <w:rPr/>
        <w:t>- Integrate reporter genes like FUS1-lacZ (for β-galactosidase assays) or FUS1-HIS3 (for growth on histidine-deficient media) under pheromone-responsive promoters.</w:t>
      </w:r>
    </w:p>
    <w:p>
      <w:pPr>
        <w:pStyle w:val="Normal"/>
        <w:bidi w:val="0"/>
        <w:jc w:val="start"/>
        <w:rPr/>
      </w:pPr>
      <w:r>
        <w:rPr/>
      </w:r>
    </w:p>
    <w:p>
      <w:pPr>
        <w:pStyle w:val="Normal"/>
        <w:bidi w:val="0"/>
        <w:jc w:val="start"/>
        <w:rPr/>
      </w:pPr>
      <w:r>
        <w:rPr/>
        <w:t>Prepare strains by growing in YEPD medium or synthetic dropout media (e.g., SD-URA for uracil selection). Confirm genotypes via PCR or phenotypic tests. For complex receptors, ensure the strain supports co-expression, as with CRLR and RAMPs (Miret et al. 2002).</w:t>
      </w:r>
    </w:p>
    <w:p>
      <w:pPr>
        <w:pStyle w:val="Normal"/>
        <w:bidi w:val="0"/>
        <w:jc w:val="start"/>
        <w:rPr/>
      </w:pPr>
      <w:r>
        <w:rPr/>
      </w:r>
    </w:p>
    <w:p>
      <w:pPr>
        <w:pStyle w:val="Normal"/>
        <w:bidi w:val="0"/>
        <w:jc w:val="start"/>
        <w:rPr/>
      </w:pPr>
      <w:r>
        <w:rPr/>
        <w:t>## Step 2: Plasmid Construction and Transformation</w:t>
      </w:r>
    </w:p>
    <w:p>
      <w:pPr>
        <w:pStyle w:val="Normal"/>
        <w:bidi w:val="0"/>
        <w:jc w:val="start"/>
        <w:rPr/>
      </w:pPr>
      <w:r>
        <w:rPr/>
      </w:r>
    </w:p>
    <w:p>
      <w:pPr>
        <w:pStyle w:val="Normal"/>
        <w:bidi w:val="0"/>
        <w:jc w:val="start"/>
        <w:rPr/>
      </w:pPr>
      <w:r>
        <w:rPr/>
        <w:t>Construct plasmids for GPCR expression, G protein chimeras, and accessory proteins if needed.</w:t>
      </w:r>
    </w:p>
    <w:p>
      <w:pPr>
        <w:pStyle w:val="Normal"/>
        <w:bidi w:val="0"/>
        <w:jc w:val="start"/>
        <w:rPr/>
      </w:pPr>
      <w:r>
        <w:rPr/>
      </w:r>
    </w:p>
    <w:p>
      <w:pPr>
        <w:pStyle w:val="Normal"/>
        <w:bidi w:val="0"/>
        <w:jc w:val="start"/>
        <w:rPr/>
      </w:pPr>
      <w:r>
        <w:rPr/>
        <w:t>- **GPCR Plasmid**: Clone the heterologous GPCR gene (e.g., human NT1 or fungal Rcb3) into a yeast vector under a promoter like PGK1, ADH1, GPD3, or MET25 (Olesnicky et al. 2000; Leplatois et al. 2001). Use integrating vectors for stable expression or episomal for flexibility.</w:t>
      </w:r>
    </w:p>
    <w:p>
      <w:pPr>
        <w:pStyle w:val="Normal"/>
        <w:bidi w:val="0"/>
        <w:jc w:val="start"/>
        <w:rPr/>
      </w:pPr>
      <w:r>
        <w:rPr/>
        <w:t>- **G Protein Chimera**: Build chimeras such as Gpa1/Gαi2 (transplant type) or rat Gαs D229S (Cadus type) via PCR fusion (e.g., at BamHI site; Baranski et al. 1999; Miret et al. 2002). Clone under PGK1 or ADH1.</w:t>
      </w:r>
    </w:p>
    <w:p>
      <w:pPr>
        <w:pStyle w:val="Normal"/>
        <w:bidi w:val="0"/>
        <w:jc w:val="start"/>
        <w:rPr/>
      </w:pPr>
      <w:r>
        <w:rPr/>
        <w:t>- **Accessory Proteins**: For receptors like CRLR, clone RAMPs (e.g., RAMP1 under ADH1) into separate vectors (Miret et al. 2002).</w:t>
      </w:r>
    </w:p>
    <w:p>
      <w:pPr>
        <w:pStyle w:val="Normal"/>
        <w:bidi w:val="0"/>
        <w:jc w:val="start"/>
        <w:rPr/>
      </w:pPr>
      <w:r>
        <w:rPr/>
      </w:r>
    </w:p>
    <w:p>
      <w:pPr>
        <w:pStyle w:val="Normal"/>
        <w:bidi w:val="0"/>
        <w:jc w:val="start"/>
        <w:rPr/>
      </w:pPr>
      <w:r>
        <w:rPr/>
        <w:t>Transform plasmids into the prepared strain using the lithium acetate method: Mix competent cells with DNA, add PEG, heat-shock at 42°C, and plate on selective media (e.g., SD-URA-LEU for dual plasmids). Verify transformants by colony PCR or Western blotting for protein expression.</w:t>
      </w:r>
    </w:p>
    <w:p>
      <w:pPr>
        <w:pStyle w:val="Normal"/>
        <w:bidi w:val="0"/>
        <w:jc w:val="start"/>
        <w:rPr/>
      </w:pPr>
      <w:r>
        <w:rPr/>
      </w:r>
    </w:p>
    <w:p>
      <w:pPr>
        <w:pStyle w:val="Normal"/>
        <w:bidi w:val="0"/>
        <w:jc w:val="start"/>
        <w:rPr/>
      </w:pPr>
      <w:r>
        <w:rPr/>
        <w:t>## Step 3: Assay Setup and Ligand Testing</w:t>
      </w:r>
    </w:p>
    <w:p>
      <w:pPr>
        <w:pStyle w:val="Normal"/>
        <w:bidi w:val="0"/>
        <w:jc w:val="start"/>
        <w:rPr/>
      </w:pPr>
      <w:r>
        <w:rPr/>
      </w:r>
    </w:p>
    <w:p>
      <w:pPr>
        <w:pStyle w:val="Normal"/>
        <w:bidi w:val="0"/>
        <w:jc w:val="start"/>
        <w:rPr/>
      </w:pPr>
      <w:r>
        <w:rPr/>
        <w:t>Prepare the assay format for functional testing.</w:t>
      </w:r>
    </w:p>
    <w:p>
      <w:pPr>
        <w:pStyle w:val="Normal"/>
        <w:bidi w:val="0"/>
        <w:jc w:val="start"/>
        <w:rPr/>
      </w:pPr>
      <w:r>
        <w:rPr/>
      </w:r>
    </w:p>
    <w:p>
      <w:pPr>
        <w:pStyle w:val="Normal"/>
        <w:bidi w:val="0"/>
        <w:jc w:val="start"/>
        <w:rPr/>
      </w:pPr>
      <w:r>
        <w:rPr/>
        <w:t>- **Liquid Phase**: Seed transformed cells (OD600 ~0.1) into microtiter plates with selective liquid media. Add test ligands (e.g., agonists in dose-response series) and incubate at 30°C for 16-24 hours.</w:t>
      </w:r>
    </w:p>
    <w:p>
      <w:pPr>
        <w:pStyle w:val="Normal"/>
        <w:bidi w:val="0"/>
        <w:jc w:val="start"/>
        <w:rPr/>
      </w:pPr>
      <w:r>
        <w:rPr/>
        <w:t>- **Solid Phase**: Spread cells on agar plates with selective media, apply compounds via spotting or diffusion, and incubate to observe growth halos or zones.</w:t>
      </w:r>
    </w:p>
    <w:p>
      <w:pPr>
        <w:pStyle w:val="Normal"/>
        <w:bidi w:val="0"/>
        <w:jc w:val="start"/>
        <w:rPr/>
      </w:pPr>
      <w:r>
        <w:rPr/>
      </w:r>
    </w:p>
    <w:p>
      <w:pPr>
        <w:pStyle w:val="Normal"/>
        <w:bidi w:val="0"/>
        <w:jc w:val="start"/>
        <w:rPr/>
      </w:pPr>
      <w:r>
        <w:rPr/>
        <w:t>Include controls: Untreated cells for baseline, known agonists for positive response (e.g., CGRP for CRLR/RAMP1; Miret et al. 2002), and empty vector strains for negatives.</w:t>
      </w:r>
    </w:p>
    <w:p>
      <w:pPr>
        <w:pStyle w:val="Normal"/>
        <w:bidi w:val="0"/>
        <w:jc w:val="start"/>
        <w:rPr/>
      </w:pPr>
      <w:r>
        <w:rPr/>
      </w:r>
    </w:p>
    <w:p>
      <w:pPr>
        <w:pStyle w:val="Normal"/>
        <w:bidi w:val="0"/>
        <w:jc w:val="start"/>
        <w:rPr/>
      </w:pPr>
      <w:r>
        <w:rPr/>
        <w:t>## Step 4: Basic Readout Methods</w:t>
      </w:r>
    </w:p>
    <w:p>
      <w:pPr>
        <w:pStyle w:val="Normal"/>
        <w:bidi w:val="0"/>
        <w:jc w:val="start"/>
        <w:rPr/>
      </w:pPr>
      <w:r>
        <w:rPr/>
      </w:r>
    </w:p>
    <w:p>
      <w:pPr>
        <w:pStyle w:val="Normal"/>
        <w:bidi w:val="0"/>
        <w:jc w:val="start"/>
        <w:rPr/>
      </w:pPr>
      <w:r>
        <w:rPr/>
        <w:t>Detect activation through pathway outputs.</w:t>
      </w:r>
    </w:p>
    <w:p>
      <w:pPr>
        <w:pStyle w:val="Normal"/>
        <w:bidi w:val="0"/>
        <w:jc w:val="start"/>
        <w:rPr/>
      </w:pPr>
      <w:r>
        <w:rPr/>
      </w:r>
    </w:p>
    <w:p>
      <w:pPr>
        <w:pStyle w:val="Normal"/>
        <w:bidi w:val="0"/>
        <w:jc w:val="start"/>
        <w:rPr/>
      </w:pPr>
      <w:r>
        <w:rPr/>
        <w:t>- **Reporter Gene Assay (lacZ)**: Lyse cells post-incubation, add ONPG substrate, and measure yellow color development at 405 nm spectrophotometrically. Quantify β-galactosidase units to assess activation strength (Nomoto et al. 1990).</w:t>
      </w:r>
    </w:p>
    <w:p>
      <w:pPr>
        <w:pStyle w:val="Normal"/>
        <w:bidi w:val="0"/>
        <w:jc w:val="start"/>
        <w:rPr/>
      </w:pPr>
      <w:r>
        <w:rPr/>
        <w:t>- **Growth-Based Readout**: Use FUS1-HIS3 reporters; monitor colony formation or turbidity on histidine-deficient media. Positive growth indicates ligand-induced HIS3 expression.</w:t>
      </w:r>
    </w:p>
    <w:p>
      <w:pPr>
        <w:pStyle w:val="Normal"/>
        <w:bidi w:val="0"/>
        <w:jc w:val="start"/>
        <w:rPr/>
      </w:pPr>
      <w:r>
        <w:rPr/>
      </w:r>
    </w:p>
    <w:p>
      <w:pPr>
        <w:pStyle w:val="Normal"/>
        <w:bidi w:val="0"/>
        <w:jc w:val="start"/>
        <w:rPr/>
      </w:pPr>
      <w:r>
        <w:rPr/>
        <w:t>Generate dose-response curves to calculate EC50 values, comparing to published data (e.g., for opioid receptors; Lagane et al. 2000).</w:t>
      </w:r>
    </w:p>
    <w:p>
      <w:pPr>
        <w:pStyle w:val="Normal"/>
        <w:bidi w:val="0"/>
        <w:jc w:val="start"/>
        <w:rPr/>
      </w:pPr>
      <w:r>
        <w:rPr/>
      </w:r>
    </w:p>
    <w:p>
      <w:pPr>
        <w:pStyle w:val="Normal"/>
        <w:bidi w:val="0"/>
        <w:jc w:val="start"/>
        <w:rPr/>
      </w:pPr>
      <w:r>
        <w:rPr/>
        <w:t>## Step 5: Verification and Optimization</w:t>
      </w:r>
    </w:p>
    <w:p>
      <w:pPr>
        <w:pStyle w:val="Normal"/>
        <w:bidi w:val="0"/>
        <w:jc w:val="start"/>
        <w:rPr/>
      </w:pPr>
      <w:r>
        <w:rPr/>
      </w:r>
    </w:p>
    <w:p>
      <w:pPr>
        <w:pStyle w:val="Normal"/>
        <w:bidi w:val="0"/>
        <w:jc w:val="start"/>
        <w:rPr/>
      </w:pPr>
      <w:r>
        <w:rPr/>
        <w:t>Verify coupling by confirming ligand-specific responses and absence in controls. Optimize by testing alternative promoters (e.g., MET25 for inducibility; Hegner et al. 1999) or chimeras if coupling is weak (e.g., mutate D229S; Baranski et al. 1999). Troubleshoot low signals by checking expression via immunoblotting or adjusting lipid supplements to mimic mammalian pharmacology (Lagane et al. 2000). For HTS, scale to 96- or 384-well formats (Pausch 1997). These steps establish reliable assays for GPCR functional analysis and ligand identification.</w:t>
      </w:r>
    </w:p>
    <w:p>
      <w:pPr>
        <w:pStyle w:val="Normal"/>
        <w:bidi w:val="0"/>
        <w:jc w:val="start"/>
        <w:rPr/>
      </w:pPr>
      <w:r>
        <w:rPr/>
      </w:r>
    </w:p>
    <w:p>
      <w:pPr>
        <w:pStyle w:val="Normal"/>
        <w:bidi w:val="0"/>
        <w:jc w:val="start"/>
        <w:rPr/>
      </w:pPr>
      <w:r>
        <w:rPr/>
        <w:t>(Word count: 598)</w:t>
      </w:r>
    </w:p>
    <w:p>
      <w:pPr>
        <w:pStyle w:val="Normal"/>
        <w:bidi w:val="0"/>
        <w:jc w:val="start"/>
        <w:rPr/>
      </w:pPr>
      <w:r>
        <w:rPr/>
      </w:r>
    </w:p>
    <w:p>
      <w:pPr>
        <w:pStyle w:val="Normal"/>
        <w:bidi w:val="0"/>
        <w:jc w:val="start"/>
        <w:rPr/>
      </w:pPr>
      <w:r>
        <w:rPr/>
        <w:t># Section 16: Step-by-Step Protocol for G Protein Chimera Construction</w:t>
      </w:r>
    </w:p>
    <w:p>
      <w:pPr>
        <w:pStyle w:val="Normal"/>
        <w:bidi w:val="0"/>
        <w:jc w:val="start"/>
        <w:rPr/>
      </w:pPr>
      <w:r>
        <w:rPr/>
      </w:r>
    </w:p>
    <w:p>
      <w:pPr>
        <w:pStyle w:val="Normal"/>
        <w:bidi w:val="0"/>
        <w:jc w:val="start"/>
        <w:rPr/>
      </w:pPr>
      <w:r>
        <w:rPr/>
        <w:t>## Introduction to G Protein Chimera Construction</w:t>
      </w:r>
    </w:p>
    <w:p>
      <w:pPr>
        <w:pStyle w:val="Normal"/>
        <w:bidi w:val="0"/>
        <w:jc w:val="start"/>
        <w:rPr/>
      </w:pPr>
      <w:r>
        <w:rPr/>
      </w:r>
    </w:p>
    <w:p>
      <w:pPr>
        <w:pStyle w:val="Normal"/>
        <w:bidi w:val="0"/>
        <w:jc w:val="start"/>
        <w:rPr/>
      </w:pPr>
      <w:r>
        <w:rPr/>
        <w:t>Constructing G protein chimeras is a critical step in adapting yeast systems for heterologous G protein-coupled receptor (GPCR) studies. These chimeras fuse portions of yeast Gpa1 (Gα subunit) with mammalian Gα sequences to enable efficient coupling to the pheromone-response pathway. The main types include Kang-type (defined fusions, e.g., at BamHI sites), Cadus-type (randomized fusions with mutations for optimization), and transplant (TP) chimeras (replacing Gpa1's C-terminal five residues). This protocol provides detailed, instructional steps for building these chimeras using PCR-based methods, drawing from established approaches. Use standard molecular biology tools like PCR machines, restriction enzymes (e.g., BamHI), and yeast expression vectors with promoters such as PGK1 or ADH1. Always verify constructs via sequencing before yeast transformation. The process typically takes 1-2 weeks, depending on cloning efficiency. Focus on aseptic techniques to avoid contamination, and handle DNA with care to prevent degradation.</w:t>
      </w:r>
    </w:p>
    <w:p>
      <w:pPr>
        <w:pStyle w:val="Normal"/>
        <w:bidi w:val="0"/>
        <w:jc w:val="start"/>
        <w:rPr/>
      </w:pPr>
      <w:r>
        <w:rPr/>
      </w:r>
    </w:p>
    <w:p>
      <w:pPr>
        <w:pStyle w:val="Normal"/>
        <w:bidi w:val="0"/>
        <w:jc w:val="start"/>
        <w:rPr/>
      </w:pPr>
      <w:r>
        <w:rPr/>
        <w:t>## Materials Required</w:t>
      </w:r>
    </w:p>
    <w:p>
      <w:pPr>
        <w:pStyle w:val="Normal"/>
        <w:bidi w:val="0"/>
        <w:jc w:val="start"/>
        <w:rPr/>
      </w:pPr>
      <w:r>
        <w:rPr/>
      </w:r>
    </w:p>
    <w:p>
      <w:pPr>
        <w:pStyle w:val="Normal"/>
        <w:bidi w:val="0"/>
        <w:jc w:val="start"/>
        <w:rPr/>
      </w:pPr>
      <w:r>
        <w:rPr/>
        <w:t>- Template DNA: Yeast Gpa1 gene and mammalian Gα cDNA (e.g., Gαi2, Gαi3, Gαs, Gα16).</w:t>
      </w:r>
    </w:p>
    <w:p>
      <w:pPr>
        <w:pStyle w:val="Normal"/>
        <w:bidi w:val="0"/>
        <w:jc w:val="start"/>
        <w:rPr/>
      </w:pPr>
      <w:r>
        <w:rPr/>
        <w:t>- Primers: Designed for amplification, fusion, and mutagenesis (e.g., with overlaps for PCR fusion or site-directed changes like D229S).</w:t>
      </w:r>
    </w:p>
    <w:p>
      <w:pPr>
        <w:pStyle w:val="Normal"/>
        <w:bidi w:val="0"/>
        <w:jc w:val="start"/>
        <w:rPr/>
      </w:pPr>
      <w:r>
        <w:rPr/>
        <w:t>- Enzymes: High-fidelity PCR polymerase, restriction enzymes (e.g., BamHI), T4 DNA ligase.</w:t>
      </w:r>
    </w:p>
    <w:p>
      <w:pPr>
        <w:pStyle w:val="Normal"/>
        <w:bidi w:val="0"/>
        <w:jc w:val="start"/>
        <w:rPr/>
      </w:pPr>
      <w:r>
        <w:rPr/>
        <w:t>- Vectors: Yeast expression plasmids (episomal or integrating) with selectable markers (e.g., URA3, LEU2).</w:t>
      </w:r>
    </w:p>
    <w:p>
      <w:pPr>
        <w:pStyle w:val="Normal"/>
        <w:bidi w:val="0"/>
        <w:jc w:val="start"/>
        <w:rPr/>
      </w:pPr>
      <w:r>
        <w:rPr/>
        <w:t>- Other: Agarose gel electrophoresis setup, sequencing kits, competent E. coli cells for cloning.</w:t>
      </w:r>
    </w:p>
    <w:p>
      <w:pPr>
        <w:pStyle w:val="Normal"/>
        <w:bidi w:val="0"/>
        <w:jc w:val="start"/>
        <w:rPr/>
      </w:pPr>
      <w:r>
        <w:rPr/>
      </w:r>
    </w:p>
    <w:p>
      <w:pPr>
        <w:pStyle w:val="Normal"/>
        <w:bidi w:val="0"/>
        <w:jc w:val="start"/>
        <w:rPr/>
      </w:pPr>
      <w:r>
        <w:rPr/>
        <w:t>## Protocol for Kang-Type Chimeras</w:t>
      </w:r>
    </w:p>
    <w:p>
      <w:pPr>
        <w:pStyle w:val="Normal"/>
        <w:bidi w:val="0"/>
        <w:jc w:val="start"/>
        <w:rPr/>
      </w:pPr>
      <w:r>
        <w:rPr/>
      </w:r>
    </w:p>
    <w:p>
      <w:pPr>
        <w:pStyle w:val="Normal"/>
        <w:bidi w:val="0"/>
        <w:jc w:val="start"/>
        <w:rPr/>
      </w:pPr>
      <w:r>
        <w:rPr/>
        <w:t>Kang-type chimeras involve fusing the N-terminal region of Gpa1 with the C-terminal portion of a mammalian Gα at a defined site, such as the BamHI restriction sequence, to preserve yeast Gβγ interactions while adding mammalian specificity.</w:t>
      </w:r>
    </w:p>
    <w:p>
      <w:pPr>
        <w:pStyle w:val="Normal"/>
        <w:bidi w:val="0"/>
        <w:jc w:val="start"/>
        <w:rPr/>
      </w:pPr>
      <w:r>
        <w:rPr/>
      </w:r>
    </w:p>
    <w:p>
      <w:pPr>
        <w:pStyle w:val="Normal"/>
        <w:bidi w:val="0"/>
        <w:jc w:val="start"/>
        <w:rPr/>
      </w:pPr>
      <w:r>
        <w:rPr/>
        <w:t>1. **Design and Amplify Fragments**: Design forward primers for Gpa1 N-terminus (up to BamHI site) and reverse primers for mammalian Gα C-terminus (from BamHI onward), including 20-30 bp overlaps for fusion. Perform PCR amplification: Use 50 ng template DNA, 0.2 μM primers, and cycle (94°C for 30 s, 55°C for 30 s, 72°C for 1 min) for 30 cycles. Purify products via gel extraction to obtain ~1-2 kb fragments.</w:t>
      </w:r>
    </w:p>
    <w:p>
      <w:pPr>
        <w:pStyle w:val="Normal"/>
        <w:bidi w:val="0"/>
        <w:jc w:val="start"/>
        <w:rPr/>
      </w:pPr>
      <w:r>
        <w:rPr/>
      </w:r>
    </w:p>
    <w:p>
      <w:pPr>
        <w:pStyle w:val="Normal"/>
        <w:bidi w:val="0"/>
        <w:jc w:val="start"/>
        <w:rPr/>
      </w:pPr>
      <w:r>
        <w:rPr/>
        <w:t>2. **Fusion PCR**: Mix purified Gpa1 and Gα fragments (equimolar, ~100 ng each) in a PCR reaction without primers initially (5 cycles to anneal overlaps), then add outer primers for full amplification (25 cycles). This creates the chimeric gene with the BamHI fusion point.</w:t>
      </w:r>
    </w:p>
    <w:p>
      <w:pPr>
        <w:pStyle w:val="Normal"/>
        <w:bidi w:val="0"/>
        <w:jc w:val="start"/>
        <w:rPr/>
      </w:pPr>
      <w:r>
        <w:rPr/>
      </w:r>
    </w:p>
    <w:p>
      <w:pPr>
        <w:pStyle w:val="Normal"/>
        <w:bidi w:val="0"/>
        <w:jc w:val="start"/>
        <w:rPr/>
      </w:pPr>
      <w:r>
        <w:rPr/>
        <w:t>3. **Cloning**: Digest the fused PCR product with appropriate restriction enzymes (e.g., flanking sites like EcoRI and HindIII) and ligate into a yeast vector under PGK1 promoter. Transform into competent E. coli, select on antibiotic plates, and confirm inserts by colony PCR.</w:t>
      </w:r>
    </w:p>
    <w:p>
      <w:pPr>
        <w:pStyle w:val="Normal"/>
        <w:bidi w:val="0"/>
        <w:jc w:val="start"/>
        <w:rPr/>
      </w:pPr>
      <w:r>
        <w:rPr/>
      </w:r>
    </w:p>
    <w:p>
      <w:pPr>
        <w:pStyle w:val="Normal"/>
        <w:bidi w:val="0"/>
        <w:jc w:val="start"/>
        <w:rPr/>
      </w:pPr>
      <w:r>
        <w:rPr/>
        <w:t>4. **Sequence Verification**: Extract plasmid DNA and sequence the fusion junction to ensure no mutations, focusing on the BamHI site for accurate joining.</w:t>
      </w:r>
    </w:p>
    <w:p>
      <w:pPr>
        <w:pStyle w:val="Normal"/>
        <w:bidi w:val="0"/>
        <w:jc w:val="start"/>
        <w:rPr/>
      </w:pPr>
      <w:r>
        <w:rPr/>
      </w:r>
    </w:p>
    <w:p>
      <w:pPr>
        <w:pStyle w:val="Normal"/>
        <w:bidi w:val="0"/>
        <w:jc w:val="start"/>
        <w:rPr/>
      </w:pPr>
      <w:r>
        <w:rPr/>
        <w:t>This method has been used for chimeras like Gpa1/Gαi2, enabling coupling of receptors such as A1 adenosine.</w:t>
      </w:r>
    </w:p>
    <w:p>
      <w:pPr>
        <w:pStyle w:val="Normal"/>
        <w:bidi w:val="0"/>
        <w:jc w:val="start"/>
        <w:rPr/>
      </w:pPr>
      <w:r>
        <w:rPr/>
      </w:r>
    </w:p>
    <w:p>
      <w:pPr>
        <w:pStyle w:val="Normal"/>
        <w:bidi w:val="0"/>
        <w:jc w:val="start"/>
        <w:rPr/>
      </w:pPr>
      <w:r>
        <w:rPr/>
        <w:t>## Protocol for Cadus-Type Chimeras</w:t>
      </w:r>
    </w:p>
    <w:p>
      <w:pPr>
        <w:pStyle w:val="Normal"/>
        <w:bidi w:val="0"/>
        <w:jc w:val="start"/>
        <w:rPr/>
      </w:pPr>
      <w:r>
        <w:rPr/>
      </w:r>
    </w:p>
    <w:p>
      <w:pPr>
        <w:pStyle w:val="Normal"/>
        <w:bidi w:val="0"/>
        <w:jc w:val="start"/>
        <w:rPr/>
      </w:pPr>
      <w:r>
        <w:rPr/>
        <w:t>Cadus-type chimeras incorporate random crossover points and targeted mutations (e.g., D229S in Gαs) to optimize coupling, often generating libraries for screening.</w:t>
      </w:r>
    </w:p>
    <w:p>
      <w:pPr>
        <w:pStyle w:val="Normal"/>
        <w:bidi w:val="0"/>
        <w:jc w:val="start"/>
        <w:rPr/>
      </w:pPr>
      <w:r>
        <w:rPr/>
      </w:r>
    </w:p>
    <w:p>
      <w:pPr>
        <w:pStyle w:val="Normal"/>
        <w:bidi w:val="0"/>
        <w:jc w:val="start"/>
        <w:rPr/>
      </w:pPr>
      <w:r>
        <w:rPr/>
        <w:t>1. **Library Generation via Shuffling**: Use error-prone PCR or DNA shuffling to create random fusions. Amplify Gpa1 and mammalian Gα (e.g., Gαi3) with primers targeting variable regions near switch domains (loops II and III, adjacent to BamHI). Set PCR conditions for high error rate (e.g., unbalanced dNTPs, MnCl2 addition) to introduce randomness. Combine products in shuffling reactions: Digest with DNase I, reassemble via primerless PCR, then amplify with outer primers.</w:t>
      </w:r>
    </w:p>
    <w:p>
      <w:pPr>
        <w:pStyle w:val="Normal"/>
        <w:bidi w:val="0"/>
        <w:jc w:val="start"/>
        <w:rPr/>
      </w:pPr>
      <w:r>
        <w:rPr/>
      </w:r>
    </w:p>
    <w:p>
      <w:pPr>
        <w:pStyle w:val="Normal"/>
        <w:bidi w:val="0"/>
        <w:jc w:val="start"/>
        <w:rPr/>
      </w:pPr>
      <w:r>
        <w:rPr/>
        <w:t>2. **Incorporate Mutations**: For specificity adjustments, use site-directed mutagenesis on selected templates. Design primers to change residues like Asp229 to Ser (D229S) in Gαs or Ala230 in Gαi2. Perform PCR with mutagenic primers (overlap extension method): Two initial PCRs for mutated halves, then fuse in a second round.</w:t>
      </w:r>
    </w:p>
    <w:p>
      <w:pPr>
        <w:pStyle w:val="Normal"/>
        <w:bidi w:val="0"/>
        <w:jc w:val="start"/>
        <w:rPr/>
      </w:pPr>
      <w:r>
        <w:rPr/>
      </w:r>
    </w:p>
    <w:p>
      <w:pPr>
        <w:pStyle w:val="Normal"/>
        <w:bidi w:val="0"/>
        <w:jc w:val="start"/>
        <w:rPr/>
      </w:pPr>
      <w:r>
        <w:rPr/>
        <w:t>3. **Cloning into Vectors**: Ligate the chimeric library into yeast plasmids under ADH1 or PGK1. Transform into E. coli for amplification, then pool plasmids to create a diverse library (aim for 10^4-10^5 variants).</w:t>
      </w:r>
    </w:p>
    <w:p>
      <w:pPr>
        <w:pStyle w:val="Normal"/>
        <w:bidi w:val="0"/>
        <w:jc w:val="start"/>
        <w:rPr/>
      </w:pPr>
      <w:r>
        <w:rPr/>
      </w:r>
    </w:p>
    <w:p>
      <w:pPr>
        <w:pStyle w:val="Normal"/>
        <w:bidi w:val="0"/>
        <w:jc w:val="start"/>
        <w:rPr/>
      </w:pPr>
      <w:r>
        <w:rPr/>
        <w:t>4. **Screening Preparation**: Transform the library into yeast strains expressing the target GPCR. Plate on selective media and test subsets for agonist-induced reporter activity to identify optimal chimeras.</w:t>
      </w:r>
    </w:p>
    <w:p>
      <w:pPr>
        <w:pStyle w:val="Normal"/>
        <w:bidi w:val="0"/>
        <w:jc w:val="start"/>
        <w:rPr/>
      </w:pPr>
      <w:r>
        <w:rPr/>
      </w:r>
    </w:p>
    <w:p>
      <w:pPr>
        <w:pStyle w:val="Normal"/>
        <w:bidi w:val="0"/>
        <w:jc w:val="start"/>
        <w:rPr/>
      </w:pPr>
      <w:r>
        <w:rPr/>
        <w:t>Examples include rat Gαs D229S for CRLR/RAMP reconstitutions.</w:t>
      </w:r>
    </w:p>
    <w:p>
      <w:pPr>
        <w:pStyle w:val="Normal"/>
        <w:bidi w:val="0"/>
        <w:jc w:val="start"/>
        <w:rPr/>
      </w:pPr>
      <w:r>
        <w:rPr/>
      </w:r>
    </w:p>
    <w:p>
      <w:pPr>
        <w:pStyle w:val="Normal"/>
        <w:bidi w:val="0"/>
        <w:jc w:val="start"/>
        <w:rPr/>
      </w:pPr>
      <w:r>
        <w:rPr/>
        <w:t>## Protocol for Transplant (TP) Chimeras</w:t>
      </w:r>
    </w:p>
    <w:p>
      <w:pPr>
        <w:pStyle w:val="Normal"/>
        <w:bidi w:val="0"/>
        <w:jc w:val="start"/>
        <w:rPr/>
      </w:pPr>
      <w:r>
        <w:rPr/>
      </w:r>
    </w:p>
    <w:p>
      <w:pPr>
        <w:pStyle w:val="Normal"/>
        <w:bidi w:val="0"/>
        <w:jc w:val="start"/>
        <w:rPr/>
      </w:pPr>
      <w:r>
        <w:rPr/>
        <w:t>TP chimeras replace only the C-terminal five amino acids of Gpa1 with mammalian Gα sequences, minimizing disruptions while enhancing specificity.</w:t>
      </w:r>
    </w:p>
    <w:p>
      <w:pPr>
        <w:pStyle w:val="Normal"/>
        <w:bidi w:val="0"/>
        <w:jc w:val="start"/>
        <w:rPr/>
      </w:pPr>
      <w:r>
        <w:rPr/>
      </w:r>
    </w:p>
    <w:p>
      <w:pPr>
        <w:pStyle w:val="Normal"/>
        <w:bidi w:val="0"/>
        <w:jc w:val="start"/>
        <w:rPr/>
      </w:pPr>
      <w:r>
        <w:rPr/>
        <w:t>1. **Amplify Core Fragments**: PCR amplify Gpa1 minus its C-terminal five codons using a reverse primer that excludes them. Separately, amplify the C-terminal five codons from mammalian Gα (e.g., Gα16) with a forward primer overlapping the Gpa1 end.</w:t>
      </w:r>
    </w:p>
    <w:p>
      <w:pPr>
        <w:pStyle w:val="Normal"/>
        <w:bidi w:val="0"/>
        <w:jc w:val="start"/>
        <w:rPr/>
      </w:pPr>
      <w:r>
        <w:rPr/>
      </w:r>
    </w:p>
    <w:p>
      <w:pPr>
        <w:pStyle w:val="Normal"/>
        <w:bidi w:val="0"/>
        <w:jc w:val="start"/>
        <w:rPr/>
      </w:pPr>
      <w:r>
        <w:rPr/>
        <w:t>2. **Overlap Extension PCR**: Mix fragments and perform fusion PCR: Initial cycles without primers for overlap annealing, then add outer primers for full gene amplification. Include any mutations (e.g., D229A) via primer design.</w:t>
      </w:r>
    </w:p>
    <w:p>
      <w:pPr>
        <w:pStyle w:val="Normal"/>
        <w:bidi w:val="0"/>
        <w:jc w:val="start"/>
        <w:rPr/>
      </w:pPr>
      <w:r>
        <w:rPr/>
      </w:r>
    </w:p>
    <w:p>
      <w:pPr>
        <w:pStyle w:val="Normal"/>
        <w:bidi w:val="0"/>
        <w:jc w:val="start"/>
        <w:rPr/>
      </w:pPr>
      <w:r>
        <w:rPr/>
        <w:t>3. **Cloning and Integration**: Digest and ligate into a yeast vector under GPD3 or PGK1. Transform into E. coli, select, and sequence to confirm the precise five-residue transplant.</w:t>
      </w:r>
    </w:p>
    <w:p>
      <w:pPr>
        <w:pStyle w:val="Normal"/>
        <w:bidi w:val="0"/>
        <w:jc w:val="start"/>
        <w:rPr/>
      </w:pPr>
      <w:r>
        <w:rPr/>
      </w:r>
    </w:p>
    <w:p>
      <w:pPr>
        <w:pStyle w:val="Normal"/>
        <w:bidi w:val="0"/>
        <w:jc w:val="start"/>
        <w:rPr/>
      </w:pPr>
      <w:r>
        <w:rPr/>
        <w:t>This is effective for fungal receptors like Rcb1 with Gpa1/Gα16 (TP).</w:t>
      </w:r>
    </w:p>
    <w:p>
      <w:pPr>
        <w:pStyle w:val="Normal"/>
        <w:bidi w:val="0"/>
        <w:jc w:val="start"/>
        <w:rPr/>
      </w:pPr>
      <w:r>
        <w:rPr/>
      </w:r>
    </w:p>
    <w:p>
      <w:pPr>
        <w:pStyle w:val="Normal"/>
        <w:bidi w:val="0"/>
        <w:jc w:val="start"/>
        <w:rPr/>
      </w:pPr>
      <w:r>
        <w:rPr/>
        <w:t>## Verification and Yeast Integration</w:t>
      </w:r>
    </w:p>
    <w:p>
      <w:pPr>
        <w:pStyle w:val="Normal"/>
        <w:bidi w:val="0"/>
        <w:jc w:val="start"/>
        <w:rPr/>
      </w:pPr>
      <w:r>
        <w:rPr/>
      </w:r>
    </w:p>
    <w:p>
      <w:pPr>
        <w:pStyle w:val="Normal"/>
        <w:bidi w:val="0"/>
        <w:jc w:val="start"/>
        <w:rPr/>
      </w:pPr>
      <w:r>
        <w:rPr/>
        <w:t>After construction, integrate chimeras into yeast: Transform via lithium acetate into strains with ste2Δ and reporters. Verify functionality by co-expressing with a GPCR, adding agonists, and measuring lacZ induction or growth. Troubleshoot failures by resequencing or testing mutations like D229S to address restrictions. Store constructs at -80°C for future use.</w:t>
      </w:r>
    </w:p>
    <w:p>
      <w:pPr>
        <w:pStyle w:val="Normal"/>
        <w:bidi w:val="0"/>
        <w:jc w:val="start"/>
        <w:rPr/>
      </w:pPr>
      <w:r>
        <w:rPr/>
      </w:r>
    </w:p>
    <w:p>
      <w:pPr>
        <w:pStyle w:val="Normal"/>
        <w:bidi w:val="0"/>
        <w:jc w:val="start"/>
        <w:rPr/>
      </w:pPr>
      <w:r>
        <w:rPr/>
        <w:t>## Practical Tips and Safety</w:t>
      </w:r>
    </w:p>
    <w:p>
      <w:pPr>
        <w:pStyle w:val="Normal"/>
        <w:bidi w:val="0"/>
        <w:jc w:val="start"/>
        <w:rPr/>
      </w:pPr>
      <w:r>
        <w:rPr/>
      </w:r>
    </w:p>
    <w:p>
      <w:pPr>
        <w:pStyle w:val="Normal"/>
        <w:bidi w:val="0"/>
        <w:jc w:val="start"/>
        <w:rPr/>
      </w:pPr>
      <w:r>
        <w:rPr/>
        <w:t>Work in a laminar flow hood for sterility. Use positive controls (e.g., known chimeras like Gpa1/Gαi3) and quantify DNA yields at each step. If random libraries fail, revert to defined fusions. This protocol enables tailored chimeras for diverse GPCRs, supporting assays for ligand identification.</w:t>
      </w:r>
    </w:p>
    <w:p>
      <w:pPr>
        <w:pStyle w:val="Normal"/>
        <w:bidi w:val="0"/>
        <w:jc w:val="start"/>
        <w:rPr/>
      </w:pPr>
      <w:r>
        <w:rPr/>
      </w:r>
    </w:p>
    <w:p>
      <w:pPr>
        <w:pStyle w:val="Normal"/>
        <w:bidi w:val="0"/>
        <w:jc w:val="start"/>
        <w:rPr/>
      </w:pPr>
      <w:r>
        <w:rPr/>
        <w:t>(Word count: 698)</w:t>
      </w:r>
    </w:p>
    <w:p>
      <w:pPr>
        <w:pStyle w:val="Normal"/>
        <w:bidi w:val="0"/>
        <w:jc w:val="start"/>
        <w:rPr/>
      </w:pPr>
      <w:r>
        <w:rPr/>
      </w:r>
    </w:p>
    <w:p>
      <w:pPr>
        <w:pStyle w:val="Normal"/>
        <w:bidi w:val="0"/>
        <w:jc w:val="start"/>
        <w:rPr/>
      </w:pPr>
      <w:r>
        <w:rPr/>
        <w:t># Section 17: Methods for Receptor Expression and Coupling Verification</w:t>
      </w:r>
    </w:p>
    <w:p>
      <w:pPr>
        <w:pStyle w:val="Normal"/>
        <w:bidi w:val="0"/>
        <w:jc w:val="start"/>
        <w:rPr/>
      </w:pPr>
      <w:r>
        <w:rPr/>
      </w:r>
    </w:p>
    <w:p>
      <w:pPr>
        <w:pStyle w:val="Normal"/>
        <w:bidi w:val="0"/>
        <w:jc w:val="start"/>
        <w:rPr/>
      </w:pPr>
      <w:r>
        <w:rPr/>
        <w:t>## Overview of Receptor Expression and Coupling Verification</w:t>
      </w:r>
    </w:p>
    <w:p>
      <w:pPr>
        <w:pStyle w:val="Normal"/>
        <w:bidi w:val="0"/>
        <w:jc w:val="start"/>
        <w:rPr/>
      </w:pPr>
      <w:r>
        <w:rPr/>
      </w:r>
    </w:p>
    <w:p>
      <w:pPr>
        <w:pStyle w:val="Normal"/>
        <w:bidi w:val="0"/>
        <w:jc w:val="start"/>
        <w:rPr/>
      </w:pPr>
      <w:r>
        <w:rPr/>
        <w:t>Expressing heterologous G protein-coupled receptors (GPCRs) in yeast requires precise genetic engineering to ensure proper membrane localization and functional integration with the pheromone-response pathway. Verification of coupling confirms that ligand binding activates downstream signaling, typically through engineered G protein chimeras and reporter systems. These methods build on foundational work, such as the expression of mammalian receptors like the β2-adrenergic (King et al. 1990) and somatostatin SSTR2 (Kang et al. 1990), and extend to complex systems like CRLR with RAMPs (Miret et al. 2002). Use vectors with promoters such as PGK1 or ADH1 for expression, and verify via biochemical and genetic tests. This section provides step-by-step instructional protocols, emphasizing verification to ensure reliable assays for ligand detection and pharmacology studies. Always work with modified strains (e.g., ste2Δ, far1Δ) and maintain cultures at 30°C in selective media.</w:t>
      </w:r>
    </w:p>
    <w:p>
      <w:pPr>
        <w:pStyle w:val="Normal"/>
        <w:bidi w:val="0"/>
        <w:jc w:val="start"/>
        <w:rPr/>
      </w:pPr>
      <w:r>
        <w:rPr/>
      </w:r>
    </w:p>
    <w:p>
      <w:pPr>
        <w:pStyle w:val="Normal"/>
        <w:bidi w:val="0"/>
        <w:jc w:val="start"/>
        <w:rPr/>
      </w:pPr>
      <w:r>
        <w:rPr/>
        <w:t>## Methods for Receptor Expression</w:t>
      </w:r>
    </w:p>
    <w:p>
      <w:pPr>
        <w:pStyle w:val="Normal"/>
        <w:bidi w:val="0"/>
        <w:jc w:val="start"/>
        <w:rPr/>
      </w:pPr>
      <w:r>
        <w:rPr/>
      </w:r>
    </w:p>
    <w:p>
      <w:pPr>
        <w:pStyle w:val="Normal"/>
        <w:bidi w:val="0"/>
        <w:jc w:val="start"/>
        <w:rPr/>
      </w:pPr>
      <w:r>
        <w:rPr/>
        <w:t>Expression involves cloning the GPCR gene into yeast vectors and transforming into suitable strains. Select promoters based on the receptor: constitutive like PGK1 for stable, high-level production (e.g., for CRLR; Miret et al. 2002) or inducible like MET25 for controlled expression to avoid toxicity (Hegner et al. 1999).</w:t>
      </w:r>
    </w:p>
    <w:p>
      <w:pPr>
        <w:pStyle w:val="Normal"/>
        <w:bidi w:val="0"/>
        <w:jc w:val="start"/>
        <w:rPr/>
      </w:pPr>
      <w:r>
        <w:rPr/>
      </w:r>
    </w:p>
    <w:p>
      <w:pPr>
        <w:pStyle w:val="Normal"/>
        <w:bidi w:val="0"/>
        <w:jc w:val="start"/>
        <w:rPr/>
      </w:pPr>
      <w:r>
        <w:rPr/>
        <w:t>### Step-by-Step Protocol for Cloning and Transformation</w:t>
      </w:r>
    </w:p>
    <w:p>
      <w:pPr>
        <w:pStyle w:val="Normal"/>
        <w:bidi w:val="0"/>
        <w:jc w:val="start"/>
        <w:rPr/>
      </w:pPr>
      <w:r>
        <w:rPr/>
        <w:t>1. **Gene Amplification**: Obtain the GPCR cDNA (e.g., human NT1 from Leplatois et al. 2001 or fungal Rcb1 from Olesnicky et al. 1999). Use PCR to amplify the coding sequence with primers adding restriction sites (e.g., EcoRI and HindIII) and tags (e.g., HA for detection).</w:t>
      </w:r>
    </w:p>
    <w:p>
      <w:pPr>
        <w:pStyle w:val="Normal"/>
        <w:bidi w:val="0"/>
        <w:jc w:val="start"/>
        <w:rPr/>
      </w:pPr>
      <w:r>
        <w:rPr/>
      </w:r>
    </w:p>
    <w:p>
      <w:pPr>
        <w:pStyle w:val="Normal"/>
        <w:bidi w:val="0"/>
        <w:jc w:val="start"/>
        <w:rPr/>
      </w:pPr>
      <w:r>
        <w:rPr/>
        <w:t>2. **Vector Insertion**: Digest the vector (e.g., integrating type with URA3 marker) and PCR product with matching enzymes. Ligate using T4 DNA ligase at 16°C overnight. Transform into competent E. coli, select on antibiotic plates, and confirm insert by colony PCR and sequencing.</w:t>
      </w:r>
    </w:p>
    <w:p>
      <w:pPr>
        <w:pStyle w:val="Normal"/>
        <w:bidi w:val="0"/>
        <w:jc w:val="start"/>
        <w:rPr/>
      </w:pPr>
      <w:r>
        <w:rPr/>
      </w:r>
    </w:p>
    <w:p>
      <w:pPr>
        <w:pStyle w:val="Normal"/>
        <w:bidi w:val="0"/>
        <w:jc w:val="start"/>
        <w:rPr/>
      </w:pPr>
      <w:r>
        <w:rPr/>
        <w:t>3. **Yeast Transformation**: Prepare competent yeast cells (e.g., ste2Δ strain) via lithium acetate treatment. Mix 1 μg plasmid DNA with cells, add PEG, heat-shock at 42°C for 15 min, and plate on selective dropout media (e.g., SD-URA). Incubate at 30°C for 2-3 days to obtain transformants.</w:t>
      </w:r>
    </w:p>
    <w:p>
      <w:pPr>
        <w:pStyle w:val="Normal"/>
        <w:bidi w:val="0"/>
        <w:jc w:val="start"/>
        <w:rPr/>
      </w:pPr>
      <w:r>
        <w:rPr/>
      </w:r>
    </w:p>
    <w:p>
      <w:pPr>
        <w:pStyle w:val="Normal"/>
        <w:bidi w:val="0"/>
        <w:jc w:val="start"/>
        <w:rPr/>
      </w:pPr>
      <w:r>
        <w:rPr/>
        <w:t>4. **Expression Induction (If Applicable)**: For MET25-driven constructs, grow in methionine-free media to induce (Hegner et al. 1999). For constitutive promoters like PGK1 or ADH1, culture directly in YEPD or synthetic media.</w:t>
      </w:r>
    </w:p>
    <w:p>
      <w:pPr>
        <w:pStyle w:val="Normal"/>
        <w:bidi w:val="0"/>
        <w:jc w:val="start"/>
        <w:rPr/>
      </w:pPr>
      <w:r>
        <w:rPr/>
      </w:r>
    </w:p>
    <w:p>
      <w:pPr>
        <w:pStyle w:val="Normal"/>
        <w:bidi w:val="0"/>
        <w:jc w:val="start"/>
        <w:rPr/>
      </w:pPr>
      <w:r>
        <w:rPr/>
        <w:t>5. **Initial Confirmation**: Grow transformants to log phase (OD600 ~1.0). Lyse cells via glass bead vortexing or enzymatic digestion, and perform SDS-PAGE followed by Western blotting using anti-tag antibodies (e.g., anti-HA) to detect receptor protein. Quantify expression levels densitometrically.</w:t>
      </w:r>
    </w:p>
    <w:p>
      <w:pPr>
        <w:pStyle w:val="Normal"/>
        <w:bidi w:val="0"/>
        <w:jc w:val="start"/>
        <w:rPr/>
      </w:pPr>
      <w:r>
        <w:rPr/>
      </w:r>
    </w:p>
    <w:p>
      <w:pPr>
        <w:pStyle w:val="Normal"/>
        <w:bidi w:val="0"/>
        <w:jc w:val="start"/>
        <w:rPr/>
      </w:pPr>
      <w:r>
        <w:rPr/>
        <w:t>For multi-component receptors like CRLR, co-transform separate plasmids for CRLR (under PGK1) and RAMPs (under ADH1), selecting on dual dropout media (Miret et al. 2002).</w:t>
      </w:r>
    </w:p>
    <w:p>
      <w:pPr>
        <w:pStyle w:val="Normal"/>
        <w:bidi w:val="0"/>
        <w:jc w:val="start"/>
        <w:rPr/>
      </w:pPr>
      <w:r>
        <w:rPr/>
      </w:r>
    </w:p>
    <w:p>
      <w:pPr>
        <w:pStyle w:val="Normal"/>
        <w:bidi w:val="0"/>
        <w:jc w:val="start"/>
        <w:rPr/>
      </w:pPr>
      <w:r>
        <w:rPr/>
        <w:t>## Methods for Coupling Verification</w:t>
      </w:r>
    </w:p>
    <w:p>
      <w:pPr>
        <w:pStyle w:val="Normal"/>
        <w:bidi w:val="0"/>
        <w:jc w:val="start"/>
        <w:rPr/>
      </w:pPr>
      <w:r>
        <w:rPr/>
      </w:r>
    </w:p>
    <w:p>
      <w:pPr>
        <w:pStyle w:val="Normal"/>
        <w:bidi w:val="0"/>
        <w:jc w:val="start"/>
        <w:rPr/>
      </w:pPr>
      <w:r>
        <w:rPr/>
        <w:t>Coupling verification assesses if the expressed GPCR interacts with the G protein chimera to activate the pathway upon ligand addition. Use biochemical tests for direct interactions and genetic assays for functional outputs.</w:t>
      </w:r>
    </w:p>
    <w:p>
      <w:pPr>
        <w:pStyle w:val="Normal"/>
        <w:bidi w:val="0"/>
        <w:jc w:val="start"/>
        <w:rPr/>
      </w:pPr>
      <w:r>
        <w:rPr/>
      </w:r>
    </w:p>
    <w:p>
      <w:pPr>
        <w:pStyle w:val="Normal"/>
        <w:bidi w:val="0"/>
        <w:jc w:val="start"/>
        <w:rPr/>
      </w:pPr>
      <w:r>
        <w:rPr/>
        <w:t>### Biochemical Verification</w:t>
      </w:r>
    </w:p>
    <w:p>
      <w:pPr>
        <w:pStyle w:val="Normal"/>
        <w:bidi w:val="0"/>
        <w:jc w:val="start"/>
        <w:rPr/>
      </w:pPr>
      <w:r>
        <w:rPr/>
        <w:t>- **Membrane Localization**: Prepare membrane fractions by ultracentrifugation of lysed cells. Use immunofluorescence: Fix cells with formaldehyde, permeabilize, incubate with primary anti-receptor antibody and fluorescent secondary, then visualize via microscopy to confirm plasma membrane targeting (as in studies like Olesnicky et al. 1999).</w:t>
      </w:r>
    </w:p>
    <w:p>
      <w:pPr>
        <w:pStyle w:val="Normal"/>
        <w:bidi w:val="0"/>
        <w:jc w:val="start"/>
        <w:rPr/>
      </w:pPr>
      <w:r>
        <w:rPr/>
      </w:r>
    </w:p>
    <w:p>
      <w:pPr>
        <w:pStyle w:val="Normal"/>
        <w:bidi w:val="0"/>
        <w:jc w:val="start"/>
        <w:rPr/>
      </w:pPr>
      <w:r>
        <w:rPr/>
        <w:t>- **G Protein Interaction**: Perform co-immunoprecipitation. Tag the GPCR and chimera (e.g., FLAG on GPCR, Myc on Gα). Lyse cells, incubate lysates with anti-FLAG beads, elute, and probe Western blots for Myc to detect association. This confirms physical coupling, as implied in chimera designs (Baranski et al. 1999).</w:t>
      </w:r>
    </w:p>
    <w:p>
      <w:pPr>
        <w:pStyle w:val="Normal"/>
        <w:bidi w:val="0"/>
        <w:jc w:val="start"/>
        <w:rPr/>
      </w:pPr>
      <w:r>
        <w:rPr/>
      </w:r>
    </w:p>
    <w:p>
      <w:pPr>
        <w:pStyle w:val="Normal"/>
        <w:bidi w:val="0"/>
        <w:jc w:val="start"/>
        <w:rPr/>
      </w:pPr>
      <w:r>
        <w:rPr/>
        <w:t>### Genetic and Functional Verification</w:t>
      </w:r>
    </w:p>
    <w:p>
      <w:pPr>
        <w:pStyle w:val="Normal"/>
        <w:bidi w:val="0"/>
        <w:jc w:val="start"/>
        <w:rPr/>
      </w:pPr>
      <w:r>
        <w:rPr/>
        <w:t>- **Reporter Gene Assay**: Integrate FUS1-lacZ reporter. Seed cells in microtiter plates, add ligand (e.g., neurotensin for NT1; Leplatois et al. 2001), incubate 16-24 hours, lyse, add ONPG substrate, and measure absorbance at 405 nm for β-galactosidase activity (Nomoto et al. 1990). Calculate fold induction over baseline.</w:t>
      </w:r>
    </w:p>
    <w:p>
      <w:pPr>
        <w:pStyle w:val="Normal"/>
        <w:bidi w:val="0"/>
        <w:jc w:val="start"/>
        <w:rPr/>
      </w:pPr>
      <w:r>
        <w:rPr/>
      </w:r>
    </w:p>
    <w:p>
      <w:pPr>
        <w:pStyle w:val="Normal"/>
        <w:bidi w:val="0"/>
        <w:jc w:val="start"/>
        <w:rPr/>
      </w:pPr>
      <w:r>
        <w:rPr/>
        <w:t>- **Growth-Based Assay**: Use FUS1-HIS3 reporter. Plate cells on histidine-deficient agar, spot ligands, and incubate to observe growth zones, indicating activation (Pausch 1997). For dose-response, use liquid media and measure OD600.</w:t>
      </w:r>
    </w:p>
    <w:p>
      <w:pPr>
        <w:pStyle w:val="Normal"/>
        <w:bidi w:val="0"/>
        <w:jc w:val="start"/>
        <w:rPr/>
      </w:pPr>
      <w:r>
        <w:rPr/>
      </w:r>
    </w:p>
    <w:p>
      <w:pPr>
        <w:pStyle w:val="Normal"/>
        <w:bidi w:val="0"/>
        <w:jc w:val="start"/>
        <w:rPr/>
      </w:pPr>
      <w:r>
        <w:rPr/>
        <w:t>- **Dose-Response Curves**: Test serial ligand dilutions to generate EC50 values, comparing to mammalian data for validation (e.g., opioid receptors; Lagane et al. 2000).</w:t>
      </w:r>
    </w:p>
    <w:p>
      <w:pPr>
        <w:pStyle w:val="Normal"/>
        <w:bidi w:val="0"/>
        <w:jc w:val="start"/>
        <w:rPr/>
      </w:pPr>
      <w:r>
        <w:rPr/>
      </w:r>
    </w:p>
    <w:p>
      <w:pPr>
        <w:pStyle w:val="Normal"/>
        <w:bidi w:val="0"/>
        <w:jc w:val="start"/>
        <w:rPr/>
      </w:pPr>
      <w:r>
        <w:rPr/>
        <w:t>Verify specificity by testing with antagonists or unrelated ligands; no response confirms selective coupling.</w:t>
      </w:r>
    </w:p>
    <w:p>
      <w:pPr>
        <w:pStyle w:val="Normal"/>
        <w:bidi w:val="0"/>
        <w:jc w:val="start"/>
        <w:rPr/>
      </w:pPr>
      <w:r>
        <w:rPr/>
      </w:r>
    </w:p>
    <w:p>
      <w:pPr>
        <w:pStyle w:val="Normal"/>
        <w:bidi w:val="0"/>
        <w:jc w:val="start"/>
        <w:rPr/>
      </w:pPr>
      <w:r>
        <w:rPr/>
        <w:t>## Troubleshooting and Optimization</w:t>
      </w:r>
    </w:p>
    <w:p>
      <w:pPr>
        <w:pStyle w:val="Normal"/>
        <w:bidi w:val="0"/>
        <w:jc w:val="start"/>
        <w:rPr/>
      </w:pPr>
      <w:r>
        <w:rPr/>
      </w:r>
    </w:p>
    <w:p>
      <w:pPr>
        <w:pStyle w:val="Normal"/>
        <w:bidi w:val="0"/>
        <w:jc w:val="start"/>
        <w:rPr/>
      </w:pPr>
      <w:r>
        <w:rPr/>
        <w:t>- **Low Expression**: If Western blots show weak bands, switch to stronger promoters like GPD3 (Olesnicky et al. 2000) or multicopy episomal vectors. Check plasmid stability via replica plating.</w:t>
      </w:r>
    </w:p>
    <w:p>
      <w:pPr>
        <w:pStyle w:val="Normal"/>
        <w:bidi w:val="0"/>
        <w:jc w:val="start"/>
        <w:rPr/>
      </w:pPr>
      <w:r>
        <w:rPr/>
      </w:r>
    </w:p>
    <w:p>
      <w:pPr>
        <w:pStyle w:val="Normal"/>
        <w:bidi w:val="0"/>
        <w:jc w:val="start"/>
        <w:rPr/>
      </w:pPr>
      <w:r>
        <w:rPr/>
        <w:t>- **Poor Coupling**: Test alternative chimeras (e.g., rat Gαs D229S for CRLR; Miret et al. 2002) or mutate residues like Asp229 (Baranski et al. 1999). Confirm Gβγ interactions via structural insights (Lambright et al. 1996; Wall et al. 1995).</w:t>
      </w:r>
    </w:p>
    <w:p>
      <w:pPr>
        <w:pStyle w:val="Normal"/>
        <w:bidi w:val="0"/>
        <w:jc w:val="start"/>
        <w:rPr/>
      </w:pPr>
      <w:r>
        <w:rPr/>
      </w:r>
    </w:p>
    <w:p>
      <w:pPr>
        <w:pStyle w:val="Normal"/>
        <w:bidi w:val="0"/>
        <w:jc w:val="start"/>
        <w:rPr/>
      </w:pPr>
      <w:r>
        <w:rPr/>
        <w:t>- **Pharmacology Discrepancies**: Lipid effects may alter affinities (Lagane et al. 2000); supplement media with cholesterol and retest.</w:t>
      </w:r>
    </w:p>
    <w:p>
      <w:pPr>
        <w:pStyle w:val="Normal"/>
        <w:bidi w:val="0"/>
        <w:jc w:val="start"/>
        <w:rPr/>
      </w:pPr>
      <w:r>
        <w:rPr/>
      </w:r>
    </w:p>
    <w:p>
      <w:pPr>
        <w:pStyle w:val="Normal"/>
        <w:bidi w:val="0"/>
        <w:jc w:val="start"/>
        <w:rPr/>
      </w:pPr>
      <w:r>
        <w:rPr/>
        <w:t>- **Toxicity**: Reduce expression with inducible systems or far1Δ strains to mitigate growth inhibition.</w:t>
      </w:r>
    </w:p>
    <w:p>
      <w:pPr>
        <w:pStyle w:val="Normal"/>
        <w:bidi w:val="0"/>
        <w:jc w:val="start"/>
        <w:rPr/>
      </w:pPr>
      <w:r>
        <w:rPr/>
      </w:r>
    </w:p>
    <w:p>
      <w:pPr>
        <w:pStyle w:val="Normal"/>
        <w:bidi w:val="0"/>
        <w:jc w:val="start"/>
        <w:rPr/>
      </w:pPr>
      <w:r>
        <w:rPr/>
        <w:t>These methods ensure robust expression and verified coupling, enabling accurate GPCR functional assays in yeast.</w:t>
      </w:r>
    </w:p>
    <w:p>
      <w:pPr>
        <w:pStyle w:val="Normal"/>
        <w:bidi w:val="0"/>
        <w:jc w:val="start"/>
        <w:rPr/>
      </w:pPr>
      <w:r>
        <w:rPr/>
      </w:r>
    </w:p>
    <w:p>
      <w:pPr>
        <w:pStyle w:val="Normal"/>
        <w:bidi w:val="0"/>
        <w:jc w:val="start"/>
        <w:rPr/>
      </w:pPr>
      <w:r>
        <w:rPr/>
        <w:t>(Word count: 648)</w:t>
      </w:r>
    </w:p>
    <w:p>
      <w:pPr>
        <w:pStyle w:val="Normal"/>
        <w:bidi w:val="0"/>
        <w:jc w:val="start"/>
        <w:rPr/>
      </w:pPr>
      <w:r>
        <w:rPr/>
      </w:r>
    </w:p>
    <w:p>
      <w:pPr>
        <w:pStyle w:val="Normal"/>
        <w:bidi w:val="0"/>
        <w:jc w:val="start"/>
        <w:rPr/>
      </w:pPr>
      <w:r>
        <w:rPr/>
        <w:t># Section 18: Reporter Gene Assays: Beta-Galactosidase and Growth-Based Readouts</w:t>
      </w:r>
    </w:p>
    <w:p>
      <w:pPr>
        <w:pStyle w:val="Normal"/>
        <w:bidi w:val="0"/>
        <w:jc w:val="start"/>
        <w:rPr/>
      </w:pPr>
      <w:r>
        <w:rPr/>
      </w:r>
    </w:p>
    <w:p>
      <w:pPr>
        <w:pStyle w:val="Normal"/>
        <w:bidi w:val="0"/>
        <w:jc w:val="start"/>
        <w:rPr/>
      </w:pPr>
      <w:r>
        <w:rPr/>
        <w:t>## Introduction to Reporter Gene Assays in Yeast GPCR Systems</w:t>
      </w:r>
    </w:p>
    <w:p>
      <w:pPr>
        <w:pStyle w:val="Normal"/>
        <w:bidi w:val="0"/>
        <w:jc w:val="start"/>
        <w:rPr/>
      </w:pPr>
      <w:r>
        <w:rPr/>
      </w:r>
    </w:p>
    <w:p>
      <w:pPr>
        <w:pStyle w:val="Normal"/>
        <w:bidi w:val="0"/>
        <w:jc w:val="start"/>
        <w:rPr/>
      </w:pPr>
      <w:r>
        <w:rPr/>
        <w:t>Reporter gene assays are essential tools for detecting G protein-coupled receptor (GPCR) activation in yeast by linking the pheromone-response pathway to measurable outputs. These assays exploit the pathway's transcriptional activation, where ligand binding to a heterologous GPCR releases Gβγ (Ste4/Ste18), triggering the MAP kinase cascade (Ste11, Ste7, Fus3) and transcription factor Ste12. Reporters like lacZ (encoding β-galactosidase) or HIS3 (encoding imidazoleglycerol-phosphate dehydratase) are placed under pheromone-responsive promoters such as FUS1, providing quantifiable signals of activation. Beta-galactosidase assays offer enzymatic detection, while growth-based readouts enable selection on nutrient-deficient media. These methods, pioneered in studies like Nomoto et al. (1990) and Pausch (1997), are ideal for ligand identification, dose-response analysis, and high-throughput screening (HTS). They complement biochemical verification by providing functional endpoints, with advantages in simplicity and scalability over mammalian systems. Select reporters based on assay needs: lacZ for precise quantification, HIS3 for robust HTS.</w:t>
      </w:r>
    </w:p>
    <w:p>
      <w:pPr>
        <w:pStyle w:val="Normal"/>
        <w:bidi w:val="0"/>
        <w:jc w:val="start"/>
        <w:rPr/>
      </w:pPr>
      <w:r>
        <w:rPr/>
      </w:r>
    </w:p>
    <w:p>
      <w:pPr>
        <w:pStyle w:val="Normal"/>
        <w:bidi w:val="0"/>
        <w:jc w:val="start"/>
        <w:rPr/>
      </w:pPr>
      <w:r>
        <w:rPr/>
        <w:t>## Beta-Galactosidase (lacZ) Reporter Assays</w:t>
      </w:r>
    </w:p>
    <w:p>
      <w:pPr>
        <w:pStyle w:val="Normal"/>
        <w:bidi w:val="0"/>
        <w:jc w:val="start"/>
        <w:rPr/>
      </w:pPr>
      <w:r>
        <w:rPr/>
      </w:r>
    </w:p>
    <w:p>
      <w:pPr>
        <w:pStyle w:val="Normal"/>
        <w:bidi w:val="0"/>
        <w:jc w:val="start"/>
        <w:rPr/>
      </w:pPr>
      <w:r>
        <w:rPr/>
        <w:t>Beta-galactosidase assays use the E. coli lacZ gene integrated under the FUS1 promoter (FUS1-lacZ) to produce an enzyme that hydrolyzes substrates like o-nitrophenyl-β-D-galactopyranoside (ONPG), yielding a colorimetric signal. This readout detects GPCR activation through increased lacZ expression upon pathway stimulation, as seen in couplings of receptors like somatostatin SSTR2 (Kang et al. 1990) or neurotensin NT1 (Leplatois et al. 2001). The assay is sensitive for dose-response curves, calculating EC50 values to assess pharmacology.</w:t>
      </w:r>
    </w:p>
    <w:p>
      <w:pPr>
        <w:pStyle w:val="Normal"/>
        <w:bidi w:val="0"/>
        <w:jc w:val="start"/>
        <w:rPr/>
      </w:pPr>
      <w:r>
        <w:rPr/>
      </w:r>
    </w:p>
    <w:p>
      <w:pPr>
        <w:pStyle w:val="Normal"/>
        <w:bidi w:val="0"/>
        <w:jc w:val="start"/>
        <w:rPr/>
      </w:pPr>
      <w:r>
        <w:rPr/>
        <w:t>### Step-by-Step Protocol for lacZ Assays</w:t>
      </w:r>
    </w:p>
    <w:p>
      <w:pPr>
        <w:pStyle w:val="Normal"/>
        <w:bidi w:val="0"/>
        <w:jc w:val="start"/>
        <w:rPr/>
      </w:pPr>
      <w:r>
        <w:rPr/>
        <w:t>1. **Strain Preparation**: Use yeast strains with integrated FUS1-lacZ, ste2Δ, and far1Δ modifications, expressing the GPCR and G protein chimera (e.g., Gpa1/Gαi2 transplant; Olesnicky et al. 1999, 2000).</w:t>
      </w:r>
    </w:p>
    <w:p>
      <w:pPr>
        <w:pStyle w:val="Normal"/>
        <w:bidi w:val="0"/>
        <w:jc w:val="start"/>
        <w:rPr/>
      </w:pPr>
      <w:r>
        <w:rPr/>
      </w:r>
    </w:p>
    <w:p>
      <w:pPr>
        <w:pStyle w:val="Normal"/>
        <w:bidi w:val="0"/>
        <w:jc w:val="start"/>
        <w:rPr/>
      </w:pPr>
      <w:r>
        <w:rPr/>
        <w:t>2. **Cell Seeding and Ligand Addition**: Grow cells to log phase (OD600 ~0.5) in selective liquid media at 30°C. Dispense 100 μL aliquots into 96-well plates (for HTS) or tubes. Add test ligands (e.g., agonists in 10-fold dilutions from 10 μM to 1 nM) and incubate shaking at 30°C for 16-24 hours.</w:t>
      </w:r>
    </w:p>
    <w:p>
      <w:pPr>
        <w:pStyle w:val="Normal"/>
        <w:bidi w:val="0"/>
        <w:jc w:val="start"/>
        <w:rPr/>
      </w:pPr>
      <w:r>
        <w:rPr/>
      </w:r>
    </w:p>
    <w:p>
      <w:pPr>
        <w:pStyle w:val="Normal"/>
        <w:bidi w:val="0"/>
        <w:jc w:val="start"/>
        <w:rPr/>
      </w:pPr>
      <w:r>
        <w:rPr/>
        <w:t>3. **Cell Lysis**: Centrifuge plates at 3000 rpm for 5 min. Resuspend pellets in 100 μL Z-buffer (60 mM Na2HPO4, 40 mM NaH2PO4, 10 mM KCl, 1 mM MgSO4, pH 7.0) with 0.1% SDS and chloroform for permeabilization. Vortex vigorously for 10 min to lyse cells.</w:t>
      </w:r>
    </w:p>
    <w:p>
      <w:pPr>
        <w:pStyle w:val="Normal"/>
        <w:bidi w:val="0"/>
        <w:jc w:val="start"/>
        <w:rPr/>
      </w:pPr>
      <w:r>
        <w:rPr/>
      </w:r>
    </w:p>
    <w:p>
      <w:pPr>
        <w:pStyle w:val="Normal"/>
        <w:bidi w:val="0"/>
        <w:jc w:val="start"/>
        <w:rPr/>
      </w:pPr>
      <w:r>
        <w:rPr/>
        <w:t>4. **Enzyme Reaction**: Add 20 μL ONPG substrate (4 mg/mL in Z-buffer) per well. Incubate at 37°C for 30-60 min, monitoring yellow color development. Stop with 50 μL 1 M Na2CO3 and measure absorbance at 405 nm using a plate reader.</w:t>
      </w:r>
    </w:p>
    <w:p>
      <w:pPr>
        <w:pStyle w:val="Normal"/>
        <w:bidi w:val="0"/>
        <w:jc w:val="start"/>
        <w:rPr/>
      </w:pPr>
      <w:r>
        <w:rPr/>
      </w:r>
    </w:p>
    <w:p>
      <w:pPr>
        <w:pStyle w:val="Normal"/>
        <w:bidi w:val="0"/>
        <w:jc w:val="start"/>
        <w:rPr/>
      </w:pPr>
      <w:r>
        <w:rPr/>
        <w:t>5. **Data Analysis**: Calculate Miller units: (1000 × A405) / (time in min × volume in mL × OD600). Plot dose-response curves to determine fold induction over baseline. Compare to controls (no ligand, empty vector).</w:t>
      </w:r>
    </w:p>
    <w:p>
      <w:pPr>
        <w:pStyle w:val="Normal"/>
        <w:bidi w:val="0"/>
        <w:jc w:val="start"/>
        <w:rPr/>
      </w:pPr>
      <w:r>
        <w:rPr/>
      </w:r>
    </w:p>
    <w:p>
      <w:pPr>
        <w:pStyle w:val="Normal"/>
        <w:bidi w:val="0"/>
        <w:jc w:val="start"/>
        <w:rPr/>
      </w:pPr>
      <w:r>
        <w:rPr/>
        <w:t>This protocol, adapted from Nomoto et al. (1990), suits liquid formats and can be miniaturized for 384-well plates (Brown et al. 2000).</w:t>
      </w:r>
    </w:p>
    <w:p>
      <w:pPr>
        <w:pStyle w:val="Normal"/>
        <w:bidi w:val="0"/>
        <w:jc w:val="start"/>
        <w:rPr/>
      </w:pPr>
      <w:r>
        <w:rPr/>
      </w:r>
    </w:p>
    <w:p>
      <w:pPr>
        <w:pStyle w:val="Normal"/>
        <w:bidi w:val="0"/>
        <w:jc w:val="start"/>
        <w:rPr/>
      </w:pPr>
      <w:r>
        <w:rPr/>
        <w:t>## Growth-Based Readouts</w:t>
      </w:r>
    </w:p>
    <w:p>
      <w:pPr>
        <w:pStyle w:val="Normal"/>
        <w:bidi w:val="0"/>
        <w:jc w:val="start"/>
        <w:rPr/>
      </w:pPr>
      <w:r>
        <w:rPr/>
      </w:r>
    </w:p>
    <w:p>
      <w:pPr>
        <w:pStyle w:val="Normal"/>
        <w:bidi w:val="0"/>
        <w:jc w:val="start"/>
        <w:rPr/>
      </w:pPr>
      <w:r>
        <w:rPr/>
        <w:t>Growth-based assays use reporters like FUS1-HIS3, where activation induces HIS3 expression, allowing growth on histidine-deficient media. This positive selection is advantageous for HTS, as growing colonies or increased turbidity indicate agonists, as described by Pausch (1997) and Klein et al. (1998). It's robust for orphan receptor ligand discovery, with examples including fungal receptors like Bbr1/2 (Fowler et al. 1999).</w:t>
      </w:r>
    </w:p>
    <w:p>
      <w:pPr>
        <w:pStyle w:val="Normal"/>
        <w:bidi w:val="0"/>
        <w:jc w:val="start"/>
        <w:rPr/>
      </w:pPr>
      <w:r>
        <w:rPr/>
      </w:r>
    </w:p>
    <w:p>
      <w:pPr>
        <w:pStyle w:val="Normal"/>
        <w:bidi w:val="0"/>
        <w:jc w:val="start"/>
        <w:rPr/>
      </w:pPr>
      <w:r>
        <w:rPr/>
        <w:t>### Step-by-Step Protocol for Growth Assays</w:t>
      </w:r>
    </w:p>
    <w:p>
      <w:pPr>
        <w:pStyle w:val="Normal"/>
        <w:bidi w:val="0"/>
        <w:jc w:val="start"/>
        <w:rPr/>
      </w:pPr>
      <w:r>
        <w:rPr/>
        <w:t>1. **Strain Setup**: Employ his3Δ strains with integrated FUS1-HIS3, expressing the GPCR (e.g., under PGK1) and chimera (e.g., rat Gαs D229S for CRLR; Miret et al. 2002).</w:t>
      </w:r>
    </w:p>
    <w:p>
      <w:pPr>
        <w:pStyle w:val="Normal"/>
        <w:bidi w:val="0"/>
        <w:jc w:val="start"/>
        <w:rPr/>
      </w:pPr>
      <w:r>
        <w:rPr/>
      </w:r>
    </w:p>
    <w:p>
      <w:pPr>
        <w:pStyle w:val="Normal"/>
        <w:bidi w:val="0"/>
        <w:jc w:val="start"/>
        <w:rPr/>
      </w:pPr>
      <w:r>
        <w:rPr/>
        <w:t>2. **Solid Phase Format**: Spread 10^5-10^6 cells on histidine-deficient agar plates. Spot 1-5 μL test compounds (e.g., 10 mM stock) or use filter disks for diffusion. Incubate at 30°C for 2-3 days. Observe growth halos around active compounds.</w:t>
      </w:r>
    </w:p>
    <w:p>
      <w:pPr>
        <w:pStyle w:val="Normal"/>
        <w:bidi w:val="0"/>
        <w:jc w:val="start"/>
        <w:rPr/>
      </w:pPr>
      <w:r>
        <w:rPr/>
      </w:r>
    </w:p>
    <w:p>
      <w:pPr>
        <w:pStyle w:val="Normal"/>
        <w:bidi w:val="0"/>
        <w:jc w:val="start"/>
        <w:rPr/>
      </w:pPr>
      <w:r>
        <w:rPr/>
        <w:t>3. **Liquid Phase Format**: Seed cells (OD600 ~0.1) into 96-well plates with histidine-deficient media. Add compounds and incubate shaking at 30°C for 24-48 hours. Measure growth via OD600 or turbidity.</w:t>
      </w:r>
    </w:p>
    <w:p>
      <w:pPr>
        <w:pStyle w:val="Normal"/>
        <w:bidi w:val="0"/>
        <w:jc w:val="start"/>
        <w:rPr/>
      </w:pPr>
      <w:r>
        <w:rPr/>
      </w:r>
    </w:p>
    <w:p>
      <w:pPr>
        <w:pStyle w:val="Normal"/>
        <w:bidi w:val="0"/>
        <w:jc w:val="start"/>
        <w:rPr/>
      </w:pPr>
      <w:r>
        <w:rPr/>
        <w:t>4. **Quantification**: For dose-response, use serial dilutions in liquid media and plot growth curves. Positive hits show OD600 &gt;2-fold over background.</w:t>
      </w:r>
    </w:p>
    <w:p>
      <w:pPr>
        <w:pStyle w:val="Normal"/>
        <w:bidi w:val="0"/>
        <w:jc w:val="start"/>
        <w:rPr/>
      </w:pPr>
      <w:r>
        <w:rPr/>
      </w:r>
    </w:p>
    <w:p>
      <w:pPr>
        <w:pStyle w:val="Normal"/>
        <w:bidi w:val="0"/>
        <w:jc w:val="start"/>
        <w:rPr/>
      </w:pPr>
      <w:r>
        <w:rPr/>
        <w:t>These formats, per Pausch (1997), enable screening large libraries, with solid phase for qualitative hits and liquid for quantification.</w:t>
      </w:r>
    </w:p>
    <w:p>
      <w:pPr>
        <w:pStyle w:val="Normal"/>
        <w:bidi w:val="0"/>
        <w:jc w:val="start"/>
        <w:rPr/>
      </w:pPr>
      <w:r>
        <w:rPr/>
      </w:r>
    </w:p>
    <w:p>
      <w:pPr>
        <w:pStyle w:val="Normal"/>
        <w:bidi w:val="0"/>
        <w:jc w:val="start"/>
        <w:rPr/>
      </w:pPr>
      <w:r>
        <w:rPr/>
        <w:t>## Implementation and Practical Guidance</w:t>
      </w:r>
    </w:p>
    <w:p>
      <w:pPr>
        <w:pStyle w:val="Normal"/>
        <w:bidi w:val="0"/>
        <w:jc w:val="start"/>
        <w:rPr/>
      </w:pPr>
      <w:r>
        <w:rPr/>
      </w:r>
    </w:p>
    <w:p>
      <w:pPr>
        <w:pStyle w:val="Normal"/>
        <w:bidi w:val="0"/>
        <w:jc w:val="start"/>
        <w:rPr/>
      </w:pPr>
      <w:r>
        <w:rPr/>
        <w:t>Integrate reporters during strain engineering via homologous recombination for stable expression. For HTS, automate dispensing in microtiter plates (Berg et al. 2000; Brown et al. 2000), screening up to 10^6 compounds. Combine lacZ with HIS3 for dual readouts: Initial growth selection followed by enzymatic confirmation. Culture in synthetic dropout media to maintain selections, and include positive controls (e.g., known agonists like CGRP for CRLR/RAMP1; Miret et al. 2002). Scale for miniaturization by reducing volumes to 10-20 μL per well, maintaining signal integrity.</w:t>
      </w:r>
    </w:p>
    <w:p>
      <w:pPr>
        <w:pStyle w:val="Normal"/>
        <w:bidi w:val="0"/>
        <w:jc w:val="start"/>
        <w:rPr/>
      </w:pPr>
      <w:r>
        <w:rPr/>
      </w:r>
    </w:p>
    <w:p>
      <w:pPr>
        <w:pStyle w:val="Normal"/>
        <w:bidi w:val="0"/>
        <w:jc w:val="start"/>
        <w:rPr/>
      </w:pPr>
      <w:r>
        <w:rPr/>
        <w:t>## Troubleshooting Common Issues</w:t>
      </w:r>
    </w:p>
    <w:p>
      <w:pPr>
        <w:pStyle w:val="Normal"/>
        <w:bidi w:val="0"/>
        <w:jc w:val="start"/>
        <w:rPr/>
      </w:pPr>
      <w:r>
        <w:rPr/>
      </w:r>
    </w:p>
    <w:p>
      <w:pPr>
        <w:pStyle w:val="Normal"/>
        <w:bidi w:val="0"/>
        <w:jc w:val="start"/>
        <w:rPr/>
      </w:pPr>
      <w:r>
        <w:rPr/>
        <w:t>- **High Background**: Reduce via far1Δ strains or optimize promoters (e.g., MET25 for inducibility; Hegner et al. 1999). Check for constitutive activation from overexpression.</w:t>
      </w:r>
    </w:p>
    <w:p>
      <w:pPr>
        <w:pStyle w:val="Normal"/>
        <w:bidi w:val="0"/>
        <w:jc w:val="start"/>
        <w:rPr/>
      </w:pPr>
      <w:r>
        <w:rPr/>
      </w:r>
    </w:p>
    <w:p>
      <w:pPr>
        <w:pStyle w:val="Normal"/>
        <w:bidi w:val="0"/>
        <w:jc w:val="start"/>
        <w:rPr/>
      </w:pPr>
      <w:r>
        <w:rPr/>
        <w:t>- **Low Sensitivity**: Test stronger chimeras (e.g., D229S mutations; Baranski et al. 1999) or increase incubation time. Verify reporter integration by PCR.</w:t>
      </w:r>
    </w:p>
    <w:p>
      <w:pPr>
        <w:pStyle w:val="Normal"/>
        <w:bidi w:val="0"/>
        <w:jc w:val="start"/>
        <w:rPr/>
      </w:pPr>
      <w:r>
        <w:rPr/>
      </w:r>
    </w:p>
    <w:p>
      <w:pPr>
        <w:pStyle w:val="Normal"/>
        <w:bidi w:val="0"/>
        <w:jc w:val="start"/>
        <w:rPr/>
      </w:pPr>
      <w:r>
        <w:rPr/>
        <w:t>- **Variable Results**: Ensure uniform cell density and fresh media to avoid lipid effects on pharmacology (Lagane et al. 2000). Calibrate plate readers for consistent absorbance.</w:t>
      </w:r>
    </w:p>
    <w:p>
      <w:pPr>
        <w:pStyle w:val="Normal"/>
        <w:bidi w:val="0"/>
        <w:jc w:val="start"/>
        <w:rPr/>
      </w:pPr>
      <w:r>
        <w:rPr/>
      </w:r>
    </w:p>
    <w:p>
      <w:pPr>
        <w:pStyle w:val="Normal"/>
        <w:bidi w:val="0"/>
        <w:jc w:val="start"/>
        <w:rPr/>
      </w:pPr>
      <w:r>
        <w:rPr/>
        <w:t>- **No Response**: Confirm expression via Western blot and coupling via co-immunoprecipitation. For complex receptors, ensure accessory proteins like RAMPs are co-expressed (Miret et al. 2002).</w:t>
      </w:r>
    </w:p>
    <w:p>
      <w:pPr>
        <w:pStyle w:val="Normal"/>
        <w:bidi w:val="0"/>
        <w:jc w:val="start"/>
        <w:rPr/>
      </w:pPr>
      <w:r>
        <w:rPr/>
      </w:r>
    </w:p>
    <w:p>
      <w:pPr>
        <w:pStyle w:val="Normal"/>
        <w:bidi w:val="0"/>
        <w:jc w:val="start"/>
        <w:rPr/>
      </w:pPr>
      <w:r>
        <w:rPr/>
        <w:t>These assays provide reliable, instructional frameworks for GPCR functional studies, leveraging yeast's advantages for efficient ligand screening and mechanistic insights.</w:t>
      </w:r>
    </w:p>
    <w:p>
      <w:pPr>
        <w:pStyle w:val="Normal"/>
        <w:bidi w:val="0"/>
        <w:jc w:val="start"/>
        <w:rPr/>
      </w:pPr>
      <w:r>
        <w:rPr/>
      </w:r>
    </w:p>
    <w:p>
      <w:pPr>
        <w:pStyle w:val="Normal"/>
        <w:bidi w:val="0"/>
        <w:jc w:val="start"/>
        <w:rPr/>
      </w:pPr>
      <w:r>
        <w:rPr/>
        <w:t>(Word count: 748)</w:t>
      </w:r>
    </w:p>
    <w:p>
      <w:pPr>
        <w:pStyle w:val="Normal"/>
        <w:bidi w:val="0"/>
        <w:jc w:val="start"/>
        <w:rPr/>
      </w:pPr>
      <w:r>
        <w:rPr/>
      </w:r>
    </w:p>
    <w:p>
      <w:pPr>
        <w:pStyle w:val="Normal"/>
        <w:bidi w:val="0"/>
        <w:jc w:val="start"/>
        <w:rPr/>
      </w:pPr>
      <w:r>
        <w:rPr/>
        <w:t># Section 19: High-Throughput Screening (HTS) in Yeast for Ligand Identification</w:t>
      </w:r>
    </w:p>
    <w:p>
      <w:pPr>
        <w:pStyle w:val="Normal"/>
        <w:bidi w:val="0"/>
        <w:jc w:val="start"/>
        <w:rPr/>
      </w:pPr>
      <w:r>
        <w:rPr/>
      </w:r>
    </w:p>
    <w:p>
      <w:pPr>
        <w:pStyle w:val="Normal"/>
        <w:bidi w:val="0"/>
        <w:jc w:val="start"/>
        <w:rPr/>
      </w:pPr>
      <w:r>
        <w:rPr/>
        <w:t>## Introduction to HTS in Yeast for GPCR Ligand Identification</w:t>
      </w:r>
    </w:p>
    <w:p>
      <w:pPr>
        <w:pStyle w:val="Normal"/>
        <w:bidi w:val="0"/>
        <w:jc w:val="start"/>
        <w:rPr/>
      </w:pPr>
      <w:r>
        <w:rPr/>
      </w:r>
    </w:p>
    <w:p>
      <w:pPr>
        <w:pStyle w:val="Normal"/>
        <w:bidi w:val="0"/>
        <w:jc w:val="start"/>
        <w:rPr/>
      </w:pPr>
      <w:r>
        <w:rPr/>
        <w:t>High-throughput screening (HTS) in yeast leverages the organism's simplicity and genetic tractability to identify ligands for G protein-coupled receptors (GPCRs), particularly agonists that activate the engineered pheromone-response pathway. This approach is widely used in pharmaceutical settings to screen large compound libraries against heterologous GPCRs, aiming to discover novel drug leads. Yeast-based HTS detects positive signals such as cell growth or reporter enzyme production (e.g., β-galactosidase from lacZ), making it ideal for agonist screening where activation induces measurable outputs. The method exploits the pathway's MAP kinase cascade, triggered by Gβγ release upon ligand binding, leading to transcriptional activation under promoters like FUS1.</w:t>
      </w:r>
    </w:p>
    <w:p>
      <w:pPr>
        <w:pStyle w:val="Normal"/>
        <w:bidi w:val="0"/>
        <w:jc w:val="start"/>
        <w:rPr/>
      </w:pPr>
      <w:r>
        <w:rPr/>
      </w:r>
    </w:p>
    <w:p>
      <w:pPr>
        <w:pStyle w:val="Normal"/>
        <w:bidi w:val="0"/>
        <w:jc w:val="start"/>
        <w:rPr/>
      </w:pPr>
      <w:r>
        <w:rPr/>
        <w:t>Although detailed HTS outcomes are often proprietary due to intellectual property concerns, the literature describes foundational applications, such as screening for ligands of orphan receptors (Klein et al. 1998). Yeast's advantages include assay stability, ease of handling, and low cost, enabling screening of collections exceeding 10^6 compounds without advanced automation. This section provides instructional guidance on setting up HTS, focusing on agonist identification for GPCRs like those coupled via chimeras (e.g., Gpa1/Gαi2 or rat Gαs D229S). Prepare strains with integrated reporters (e.g., FUS1-lacZ or FUS1-HIS3), deletions like ste2Δ and far1Δ, and stable GPCR expression under promoters such as PGK1 or ADH1.</w:t>
      </w:r>
    </w:p>
    <w:p>
      <w:pPr>
        <w:pStyle w:val="Normal"/>
        <w:bidi w:val="0"/>
        <w:jc w:val="start"/>
        <w:rPr/>
      </w:pPr>
      <w:r>
        <w:rPr/>
      </w:r>
    </w:p>
    <w:p>
      <w:pPr>
        <w:pStyle w:val="Normal"/>
        <w:bidi w:val="0"/>
        <w:jc w:val="start"/>
        <w:rPr/>
      </w:pPr>
      <w:r>
        <w:rPr/>
        <w:t>## Advantages of Yeast for HTS</w:t>
      </w:r>
    </w:p>
    <w:p>
      <w:pPr>
        <w:pStyle w:val="Normal"/>
        <w:bidi w:val="0"/>
        <w:jc w:val="start"/>
        <w:rPr/>
      </w:pPr>
      <w:r>
        <w:rPr/>
      </w:r>
    </w:p>
    <w:p>
      <w:pPr>
        <w:pStyle w:val="Normal"/>
        <w:bidi w:val="0"/>
        <w:jc w:val="start"/>
        <w:rPr/>
      </w:pPr>
      <w:r>
        <w:rPr/>
        <w:t>Yeast excels in HTS due to its robustness and adaptability to miniaturization. The small cell size facilitates low-volume dispensing, while fluorescent or enzymatic readouts maintain dynamic range in high-density formats. Unlike mammalian systems, yeast requires minimal equipment—standard incubators and plate readers suffice—making screens quick and inexpensive. For instance, companies screen dozens of GPCRs annually against vast libraries, capitalizing on yeast's stability for consistent results over extended runs.</w:t>
      </w:r>
    </w:p>
    <w:p>
      <w:pPr>
        <w:pStyle w:val="Normal"/>
        <w:bidi w:val="0"/>
        <w:jc w:val="start"/>
        <w:rPr/>
      </w:pPr>
      <w:r>
        <w:rPr/>
      </w:r>
    </w:p>
    <w:p>
      <w:pPr>
        <w:pStyle w:val="Normal"/>
        <w:bidi w:val="0"/>
        <w:jc w:val="start"/>
        <w:rPr/>
      </w:pPr>
      <w:r>
        <w:rPr/>
        <w:t>Key benefits include:</w:t>
      </w:r>
    </w:p>
    <w:p>
      <w:pPr>
        <w:pStyle w:val="Normal"/>
        <w:bidi w:val="0"/>
        <w:jc w:val="start"/>
        <w:rPr/>
      </w:pPr>
      <w:r>
        <w:rPr/>
        <w:t>- **Cost-Effectiveness**: Inexpensive media and no need for sera or sterile conditions reduce expenses.</w:t>
      </w:r>
    </w:p>
    <w:p>
      <w:pPr>
        <w:pStyle w:val="Normal"/>
        <w:bidi w:val="0"/>
        <w:jc w:val="start"/>
        <w:rPr/>
      </w:pPr>
      <w:r>
        <w:rPr/>
        <w:t>- **Scalability**: Assays adapt to 96-, 384-, or higher-density plates, screening up to 10^6 compounds efficiently (Brown et al. 2000; Berg et al. 2000).</w:t>
      </w:r>
    </w:p>
    <w:p>
      <w:pPr>
        <w:pStyle w:val="Normal"/>
        <w:bidi w:val="0"/>
        <w:jc w:val="start"/>
        <w:rPr/>
      </w:pPr>
      <w:r>
        <w:rPr/>
        <w:t>- **Positive Signal Detection**: Growth or enzyme production provides clear hits, ideal for agonists, as demonstrated in screens for receptors like A1 adenosine (Price et al. 1995, 1996).</w:t>
      </w:r>
    </w:p>
    <w:p>
      <w:pPr>
        <w:pStyle w:val="Normal"/>
        <w:bidi w:val="0"/>
        <w:jc w:val="start"/>
        <w:rPr/>
      </w:pPr>
      <w:r>
        <w:rPr/>
        <w:t>- **Miniaturization Potential**: Yeast's simplicity supports future trends in assay development, such as ultra-high-throughput formats without sophisticated automation.</w:t>
      </w:r>
    </w:p>
    <w:p>
      <w:pPr>
        <w:pStyle w:val="Normal"/>
        <w:bidi w:val="0"/>
        <w:jc w:val="start"/>
        <w:rPr/>
      </w:pPr>
      <w:r>
        <w:rPr/>
      </w:r>
    </w:p>
    <w:p>
      <w:pPr>
        <w:pStyle w:val="Normal"/>
        <w:bidi w:val="0"/>
        <w:jc w:val="start"/>
        <w:rPr/>
      </w:pPr>
      <w:r>
        <w:rPr/>
        <w:t>These features position yeast as a complementary tool to mammalian assays, particularly for initial ligand discovery before validation.</w:t>
      </w:r>
    </w:p>
    <w:p>
      <w:pPr>
        <w:pStyle w:val="Normal"/>
        <w:bidi w:val="0"/>
        <w:jc w:val="start"/>
        <w:rPr/>
      </w:pPr>
      <w:r>
        <w:rPr/>
      </w:r>
    </w:p>
    <w:p>
      <w:pPr>
        <w:pStyle w:val="Normal"/>
        <w:bidi w:val="0"/>
        <w:jc w:val="start"/>
        <w:rPr/>
      </w:pPr>
      <w:r>
        <w:rPr/>
        <w:t>## Assay Formats for HTS</w:t>
      </w:r>
    </w:p>
    <w:p>
      <w:pPr>
        <w:pStyle w:val="Normal"/>
        <w:bidi w:val="0"/>
        <w:jc w:val="start"/>
        <w:rPr/>
      </w:pPr>
      <w:r>
        <w:rPr/>
      </w:r>
    </w:p>
    <w:p>
      <w:pPr>
        <w:pStyle w:val="Normal"/>
        <w:bidi w:val="0"/>
        <w:jc w:val="start"/>
        <w:rPr/>
      </w:pPr>
      <w:r>
        <w:rPr/>
        <w:t>HTS in yeast uses liquid or solid phase formats, both detecting pathway activation via reporters. Liquid formats suit automation and quantification, while solid formats enable qualitative hit identification through visual growth patterns.</w:t>
      </w:r>
    </w:p>
    <w:p>
      <w:pPr>
        <w:pStyle w:val="Normal"/>
        <w:bidi w:val="0"/>
        <w:jc w:val="start"/>
        <w:rPr/>
      </w:pPr>
      <w:r>
        <w:rPr/>
      </w:r>
    </w:p>
    <w:p>
      <w:pPr>
        <w:pStyle w:val="Normal"/>
        <w:bidi w:val="0"/>
        <w:jc w:val="start"/>
        <w:rPr/>
      </w:pPr>
      <w:r>
        <w:rPr/>
        <w:t>### Liquid Phase HTS</w:t>
      </w:r>
    </w:p>
    <w:p>
      <w:pPr>
        <w:pStyle w:val="Normal"/>
        <w:bidi w:val="0"/>
        <w:jc w:val="start"/>
        <w:rPr/>
      </w:pPr>
      <w:r>
        <w:rPr/>
        <w:t>In liquid assays, compounds are added to cell-seeded media in microtiter plates, with activation measured by growth or reporter activity (Pausch 1997).</w:t>
      </w:r>
    </w:p>
    <w:p>
      <w:pPr>
        <w:pStyle w:val="Normal"/>
        <w:bidi w:val="0"/>
        <w:jc w:val="start"/>
        <w:rPr/>
      </w:pPr>
      <w:r>
        <w:rPr/>
      </w:r>
    </w:p>
    <w:p>
      <w:pPr>
        <w:pStyle w:val="Normal"/>
        <w:bidi w:val="0"/>
        <w:jc w:val="start"/>
        <w:rPr/>
      </w:pPr>
      <w:r>
        <w:rPr/>
        <w:t>### Solid Phase HTS</w:t>
      </w:r>
    </w:p>
    <w:p>
      <w:pPr>
        <w:pStyle w:val="Normal"/>
        <w:bidi w:val="0"/>
        <w:jc w:val="start"/>
        <w:rPr/>
      </w:pPr>
      <w:r>
        <w:rPr/>
        <w:t>Solid assays involve applying compounds to agar-embedded cells, observing growth zones (Pausch 1997). These are simple for initial screens but less quantifiable.</w:t>
      </w:r>
    </w:p>
    <w:p>
      <w:pPr>
        <w:pStyle w:val="Normal"/>
        <w:bidi w:val="0"/>
        <w:jc w:val="start"/>
        <w:rPr/>
      </w:pPr>
      <w:r>
        <w:rPr/>
      </w:r>
    </w:p>
    <w:p>
      <w:pPr>
        <w:pStyle w:val="Normal"/>
        <w:bidi w:val="0"/>
        <w:jc w:val="start"/>
        <w:rPr/>
      </w:pPr>
      <w:r>
        <w:rPr/>
        <w:t>## Step-by-Step Protocol for HTS Setup</w:t>
      </w:r>
    </w:p>
    <w:p>
      <w:pPr>
        <w:pStyle w:val="Normal"/>
        <w:bidi w:val="0"/>
        <w:jc w:val="start"/>
        <w:rPr/>
      </w:pPr>
      <w:r>
        <w:rPr/>
      </w:r>
    </w:p>
    <w:p>
      <w:pPr>
        <w:pStyle w:val="Normal"/>
        <w:bidi w:val="0"/>
        <w:jc w:val="start"/>
        <w:rPr/>
      </w:pPr>
      <w:r>
        <w:rPr/>
        <w:t>Follow these steps to implement HTS for ligand identification, adapting from protocols for agonist screening (Pausch 1997; Klein et al. 1998; Brown et al. 2000; Berg et al. 2000).</w:t>
      </w:r>
    </w:p>
    <w:p>
      <w:pPr>
        <w:pStyle w:val="Normal"/>
        <w:bidi w:val="0"/>
        <w:jc w:val="start"/>
        <w:rPr/>
      </w:pPr>
      <w:r>
        <w:rPr/>
      </w:r>
    </w:p>
    <w:p>
      <w:pPr>
        <w:pStyle w:val="Normal"/>
        <w:bidi w:val="0"/>
        <w:jc w:val="start"/>
        <w:rPr/>
      </w:pPr>
      <w:r>
        <w:rPr/>
        <w:t>1. **Strain and Library Preparation**: Use optimized yeast strains expressing the GPCR (e.g., under PGK1), a compatible G protein chimera (e.g., Cadus-type for complex receptors like CRLR with RAMPs; Miret et al. 2002), and a reporter (FUS1-lacZ or FUS1-HIS3). Grow to log phase in selective media at 30°C. Prepare compound libraries in DMSO stocks (typically 10 mM), diluted to screening concentrations (e.g., 10-50 μM).</w:t>
      </w:r>
    </w:p>
    <w:p>
      <w:pPr>
        <w:pStyle w:val="Normal"/>
        <w:bidi w:val="0"/>
        <w:jc w:val="start"/>
        <w:rPr/>
      </w:pPr>
      <w:r>
        <w:rPr/>
      </w:r>
    </w:p>
    <w:p>
      <w:pPr>
        <w:pStyle w:val="Normal"/>
        <w:bidi w:val="0"/>
        <w:jc w:val="start"/>
        <w:rPr/>
      </w:pPr>
      <w:r>
        <w:rPr/>
        <w:t>2. **Plate Seeding**: For liquid HTS, dilute cells to OD600 ~0.1 in histidine-deficient or reporter-compatible media. Dispense 50-100 μL per well in 96- or 384-well plates using a multichannel pipette or automated dispenser. For solid HTS, spread 10^5-10^6 cells evenly on histidine-deficient agar plates.</w:t>
      </w:r>
    </w:p>
    <w:p>
      <w:pPr>
        <w:pStyle w:val="Normal"/>
        <w:bidi w:val="0"/>
        <w:jc w:val="start"/>
        <w:rPr/>
      </w:pPr>
      <w:r>
        <w:rPr/>
      </w:r>
    </w:p>
    <w:p>
      <w:pPr>
        <w:pStyle w:val="Normal"/>
        <w:bidi w:val="0"/>
        <w:jc w:val="start"/>
        <w:rPr/>
      </w:pPr>
      <w:r>
        <w:rPr/>
        <w:t>3. **Compound Addition**: Add 1-2 μL of compounds per well (liquid) or spot 1-5 μL onto agar surfaces (solid). Include controls: known agonists (e.g., neurotensin for NT1; Leplatois et al. 2001), DMSO vehicle for baseline, and empty wells for negatives. Seal plates to prevent evaporation.</w:t>
      </w:r>
    </w:p>
    <w:p>
      <w:pPr>
        <w:pStyle w:val="Normal"/>
        <w:bidi w:val="0"/>
        <w:jc w:val="start"/>
        <w:rPr/>
      </w:pPr>
      <w:r>
        <w:rPr/>
      </w:r>
    </w:p>
    <w:p>
      <w:pPr>
        <w:pStyle w:val="Normal"/>
        <w:bidi w:val="0"/>
        <w:jc w:val="start"/>
        <w:rPr/>
      </w:pPr>
      <w:r>
        <w:rPr/>
        <w:t>4. **Incubation**: Incubate at 30°C with shaking (liquid, 24-48 hours) or static (solid, 2-3 days). For lacZ, proceed to lysis; for HIS3, monitor directly.</w:t>
      </w:r>
    </w:p>
    <w:p>
      <w:pPr>
        <w:pStyle w:val="Normal"/>
        <w:bidi w:val="0"/>
        <w:jc w:val="start"/>
        <w:rPr/>
      </w:pPr>
      <w:r>
        <w:rPr/>
      </w:r>
    </w:p>
    <w:p>
      <w:pPr>
        <w:pStyle w:val="Normal"/>
        <w:bidi w:val="0"/>
        <w:jc w:val="start"/>
        <w:rPr/>
      </w:pPr>
      <w:r>
        <w:rPr/>
        <w:t>5. **Readout Measurement**: For lacZ (liquid), lyse cells with Z-buffer/SDS/chloroform, add ONPG, incubate at 37°C, and read absorbance at 405 nm. For growth (liquid), measure OD600; for solid, score growth halos visually or via imaging. Hits are wells/plots with &gt;2-fold signal over baseline.</w:t>
      </w:r>
    </w:p>
    <w:p>
      <w:pPr>
        <w:pStyle w:val="Normal"/>
        <w:bidi w:val="0"/>
        <w:jc w:val="start"/>
        <w:rPr/>
      </w:pPr>
      <w:r>
        <w:rPr/>
      </w:r>
    </w:p>
    <w:p>
      <w:pPr>
        <w:pStyle w:val="Normal"/>
        <w:bidi w:val="0"/>
        <w:jc w:val="start"/>
        <w:rPr/>
      </w:pPr>
      <w:r>
        <w:rPr/>
        <w:t>6. **Hit Confirmation**: Retest positives in dose-response format (e.g., 10-point curves) to calculate EC50, confirming specificity with antagonists or unrelated compounds.</w:t>
      </w:r>
    </w:p>
    <w:p>
      <w:pPr>
        <w:pStyle w:val="Normal"/>
        <w:bidi w:val="0"/>
        <w:jc w:val="start"/>
        <w:rPr/>
      </w:pPr>
      <w:r>
        <w:rPr/>
      </w:r>
    </w:p>
    <w:p>
      <w:pPr>
        <w:pStyle w:val="Normal"/>
        <w:bidi w:val="0"/>
        <w:jc w:val="start"/>
        <w:rPr/>
      </w:pPr>
      <w:r>
        <w:rPr/>
        <w:t>This protocol screens thousands of compounds daily, scaling to 10^6 with automation (Brown et al. 2000).</w:t>
      </w:r>
    </w:p>
    <w:p>
      <w:pPr>
        <w:pStyle w:val="Normal"/>
        <w:bidi w:val="0"/>
        <w:jc w:val="start"/>
        <w:rPr/>
      </w:pPr>
      <w:r>
        <w:rPr/>
      </w:r>
    </w:p>
    <w:p>
      <w:pPr>
        <w:pStyle w:val="Normal"/>
        <w:bidi w:val="0"/>
        <w:jc w:val="start"/>
        <w:rPr/>
      </w:pPr>
      <w:r>
        <w:rPr/>
        <w:t>## Data Analysis and Hit Validation</w:t>
      </w:r>
    </w:p>
    <w:p>
      <w:pPr>
        <w:pStyle w:val="Normal"/>
        <w:bidi w:val="0"/>
        <w:jc w:val="start"/>
        <w:rPr/>
      </w:pPr>
      <w:r>
        <w:rPr/>
      </w:r>
    </w:p>
    <w:p>
      <w:pPr>
        <w:pStyle w:val="Normal"/>
        <w:bidi w:val="0"/>
        <w:jc w:val="start"/>
        <w:rPr/>
      </w:pPr>
      <w:r>
        <w:rPr/>
        <w:t>Analyze data using software for plate normalization and Z'-factor calculation to assess assay quality (Z' &gt;0.5 indicates robustness). Plot dose-responses to derive EC50 values, comparing to known ligands (e.g., CGRP for CRLR/RAMP1; Miret et al. 2002). Validate hits in secondary assays, such as mammalian cell lines, to address potential yeast-specific effects like lipid composition influences on pharmacology (Lagane et al. 2000). Prioritize hits with reproducible, dose-dependent activation and no off-target effects.</w:t>
      </w:r>
    </w:p>
    <w:p>
      <w:pPr>
        <w:pStyle w:val="Normal"/>
        <w:bidi w:val="0"/>
        <w:jc w:val="start"/>
        <w:rPr/>
      </w:pPr>
      <w:r>
        <w:rPr/>
      </w:r>
    </w:p>
    <w:p>
      <w:pPr>
        <w:pStyle w:val="Normal"/>
        <w:bidi w:val="0"/>
        <w:jc w:val="start"/>
        <w:rPr/>
      </w:pPr>
      <w:r>
        <w:rPr/>
        <w:t>## Troubleshooting Common Issues in HTS</w:t>
      </w:r>
    </w:p>
    <w:p>
      <w:pPr>
        <w:pStyle w:val="Normal"/>
        <w:bidi w:val="0"/>
        <w:jc w:val="start"/>
        <w:rPr/>
      </w:pPr>
      <w:r>
        <w:rPr/>
      </w:r>
    </w:p>
    <w:p>
      <w:pPr>
        <w:pStyle w:val="Normal"/>
        <w:bidi w:val="0"/>
        <w:jc w:val="start"/>
        <w:rPr/>
      </w:pPr>
      <w:r>
        <w:rPr/>
        <w:t>- **High Background Noise**: Optimize cell density or use far1Δ strains to reduce constitutive signaling. Check for plasmid loss via replica plating on selective media.</w:t>
      </w:r>
    </w:p>
    <w:p>
      <w:pPr>
        <w:pStyle w:val="Normal"/>
        <w:bidi w:val="0"/>
        <w:jc w:val="start"/>
        <w:rPr/>
      </w:pPr>
      <w:r>
        <w:rPr/>
        <w:t>- **Low Hit Rate**: Test alternative chimeras (e.g., D229S mutations for restricted coupling; Baranski et al. 1999) or increase compound concentration. Verify GPCR expression via Western blot.</w:t>
      </w:r>
    </w:p>
    <w:p>
      <w:pPr>
        <w:pStyle w:val="Normal"/>
        <w:bidi w:val="0"/>
        <w:jc w:val="start"/>
        <w:rPr/>
      </w:pPr>
      <w:r>
        <w:rPr/>
        <w:t>- **Variable Signals**: Ensure uniform incubation temperatures and fresh media to mitigate evaporation or contamination. For lipid-related pharmacology shifts (Lagane et al. 2000), supplement with cholesterol.</w:t>
      </w:r>
    </w:p>
    <w:p>
      <w:pPr>
        <w:pStyle w:val="Normal"/>
        <w:bidi w:val="0"/>
        <w:jc w:val="start"/>
        <w:rPr/>
      </w:pPr>
      <w:r>
        <w:rPr/>
        <w:t>- **False Positives**: Confirm via orthogonal readouts (e.g., switch from HIS3 to lacZ) and retest in non-expressing strains.</w:t>
      </w:r>
    </w:p>
    <w:p>
      <w:pPr>
        <w:pStyle w:val="Normal"/>
        <w:bidi w:val="0"/>
        <w:jc w:val="start"/>
        <w:rPr/>
      </w:pPr>
      <w:r>
        <w:rPr/>
        <w:t>- **Scalability Challenges**: For miniaturization, reduce volumes to 10-20 μL in 384-well plates, adjusting cell numbers proportionally (Berg et al. 2000; Brown et al. 2000).</w:t>
      </w:r>
    </w:p>
    <w:p>
      <w:pPr>
        <w:pStyle w:val="Normal"/>
        <w:bidi w:val="0"/>
        <w:jc w:val="start"/>
        <w:rPr/>
      </w:pPr>
      <w:r>
        <w:rPr/>
      </w:r>
    </w:p>
    <w:p>
      <w:pPr>
        <w:pStyle w:val="Normal"/>
        <w:bidi w:val="0"/>
        <w:jc w:val="start"/>
        <w:rPr/>
      </w:pPr>
      <w:r>
        <w:rPr/>
        <w:t>## Practical Guidance and Case Studies</w:t>
      </w:r>
    </w:p>
    <w:p>
      <w:pPr>
        <w:pStyle w:val="Normal"/>
        <w:bidi w:val="0"/>
        <w:jc w:val="start"/>
        <w:rPr/>
      </w:pPr>
      <w:r>
        <w:rPr/>
      </w:r>
    </w:p>
    <w:p>
      <w:pPr>
        <w:pStyle w:val="Normal"/>
        <w:bidi w:val="0"/>
        <w:jc w:val="start"/>
        <w:rPr/>
      </w:pPr>
      <w:r>
        <w:rPr/>
        <w:t>Start with small pilot screens (e.g., 1,000 compounds) to optimize parameters before full HTS. Culture in synthetic dropout media at 30°C, refreshing stocks weekly to maintain viability. For orphan receptors, use growth-based HTS to identify ligands, as in Klein et al. (1998), where Cadus-type ch</w:t>
      </w:r>
    </w:p>
    <w:p>
      <w:pPr>
        <w:pStyle w:val="Normal"/>
        <w:bidi w:val="0"/>
        <w:jc w:val="start"/>
        <w:rPr/>
      </w:pPr>
      <w:r>
        <w:rPr/>
      </w:r>
    </w:p>
    <w:p>
      <w:pPr>
        <w:pStyle w:val="Normal"/>
        <w:bidi w:val="0"/>
        <w:jc w:val="start"/>
        <w:rPr/>
      </w:pPr>
      <w:r>
        <w:rPr/>
        <w:t># Section 20: Liquid and Solid Phase Assay Formats</w:t>
      </w:r>
    </w:p>
    <w:p>
      <w:pPr>
        <w:pStyle w:val="Normal"/>
        <w:bidi w:val="0"/>
        <w:jc w:val="start"/>
        <w:rPr/>
      </w:pPr>
      <w:r>
        <w:rPr/>
      </w:r>
    </w:p>
    <w:p>
      <w:pPr>
        <w:pStyle w:val="Normal"/>
        <w:bidi w:val="0"/>
        <w:jc w:val="start"/>
        <w:rPr/>
      </w:pPr>
      <w:r>
        <w:rPr/>
        <w:t>## Introduction to Assay Formats in Yeast GPCR Studies</w:t>
      </w:r>
    </w:p>
    <w:p>
      <w:pPr>
        <w:pStyle w:val="Normal"/>
        <w:bidi w:val="0"/>
        <w:jc w:val="start"/>
        <w:rPr/>
      </w:pPr>
      <w:r>
        <w:rPr/>
      </w:r>
    </w:p>
    <w:p>
      <w:pPr>
        <w:pStyle w:val="Normal"/>
        <w:bidi w:val="0"/>
        <w:jc w:val="start"/>
        <w:rPr/>
      </w:pPr>
      <w:r>
        <w:rPr/>
        <w:t>Yeast-based assays for G protein-coupled receptors (GPCRs) can be conducted in liquid or solid phase formats, each offering distinct advantages for detecting ligand-induced activation of the pheromone-response pathway. These formats leverage reporters like FUS1-lacZ for β-galactosidase activity or FUS1-HIS3 for growth selection, enabling identification of agonists through positive signals such as enzyme production or cell proliferation. Liquid phase assays involve suspending cells in media within microtiter plates, suitable for quantitative, automated high-throughput screening (HTS). Solid phase assays embed cells in agar, allowing qualitative detection via growth zones or halos around active compounds. Both are described in foundational work (Pausch 1997), with applications in screening compound libraries for receptors like those coupled via chimeras (Klein et al. 1998; Brown et al. 2000; Berg et al. 2000). Choose formats based on throughput needs: liquid for precision and scalability, solid for simplicity and visual assessment. This section provides instructional comparisons, procedures, and tips, focusing on practical implementation without requiring advanced equipment.</w:t>
      </w:r>
    </w:p>
    <w:p>
      <w:pPr>
        <w:pStyle w:val="Normal"/>
        <w:bidi w:val="0"/>
        <w:jc w:val="start"/>
        <w:rPr/>
      </w:pPr>
      <w:r>
        <w:rPr/>
      </w:r>
    </w:p>
    <w:p>
      <w:pPr>
        <w:pStyle w:val="Normal"/>
        <w:bidi w:val="0"/>
        <w:jc w:val="start"/>
        <w:rPr/>
      </w:pPr>
      <w:r>
        <w:rPr/>
        <w:t>## Liquid Phase Assay Formats</w:t>
      </w:r>
    </w:p>
    <w:p>
      <w:pPr>
        <w:pStyle w:val="Normal"/>
        <w:bidi w:val="0"/>
        <w:jc w:val="start"/>
        <w:rPr/>
      </w:pPr>
      <w:r>
        <w:rPr/>
      </w:r>
    </w:p>
    <w:p>
      <w:pPr>
        <w:pStyle w:val="Normal"/>
        <w:bidi w:val="0"/>
        <w:jc w:val="start"/>
        <w:rPr/>
      </w:pPr>
      <w:r>
        <w:rPr/>
        <w:t>Liquid phase formats suspend yeast cells in nutrient media, facilitating precise control over conditions and easy integration with automation for HTS. They are ideal for dose-response analyses and quantifying reporter outputs, such as β-galactosidase from lacZ or turbidity from growth.</w:t>
      </w:r>
    </w:p>
    <w:p>
      <w:pPr>
        <w:pStyle w:val="Normal"/>
        <w:bidi w:val="0"/>
        <w:jc w:val="start"/>
        <w:rPr/>
      </w:pPr>
      <w:r>
        <w:rPr/>
      </w:r>
    </w:p>
    <w:p>
      <w:pPr>
        <w:pStyle w:val="Normal"/>
        <w:bidi w:val="0"/>
        <w:jc w:val="start"/>
        <w:rPr/>
      </w:pPr>
      <w:r>
        <w:rPr/>
        <w:t>### Procedures for Liquid Assays</w:t>
      </w:r>
    </w:p>
    <w:p>
      <w:pPr>
        <w:pStyle w:val="Normal"/>
        <w:bidi w:val="0"/>
        <w:jc w:val="start"/>
        <w:rPr/>
      </w:pPr>
      <w:r>
        <w:rPr/>
        <w:t>1. **Cell Preparation**: Grow transformed yeast strains (e.g., expressing GPCR under PGK1 and a chimera like rat Gαs D229S) to log phase (OD600 ~0.5) in selective synthetic media at 30°C. Dilute to OD600 ~0.1 in assay media (e.g., histidine-deficient for HIS3 reporters).</w:t>
      </w:r>
    </w:p>
    <w:p>
      <w:pPr>
        <w:pStyle w:val="Normal"/>
        <w:bidi w:val="0"/>
        <w:jc w:val="start"/>
        <w:rPr/>
      </w:pPr>
      <w:r>
        <w:rPr/>
      </w:r>
    </w:p>
    <w:p>
      <w:pPr>
        <w:pStyle w:val="Normal"/>
        <w:bidi w:val="0"/>
        <w:jc w:val="start"/>
        <w:rPr/>
      </w:pPr>
      <w:r>
        <w:rPr/>
        <w:t>2. **Plate Setup**: Dispense 50-100 μL cell suspension per well in 96- or 384-well microtiter plates using a multichannel pipette. Add test compounds (1-2 μL from 10 mM DMSO stocks, final concentration 10-50 μM) and controls (known agonists like neurotensin for NT1; Leplatois et al. 2001).</w:t>
      </w:r>
    </w:p>
    <w:p>
      <w:pPr>
        <w:pStyle w:val="Normal"/>
        <w:bidi w:val="0"/>
        <w:jc w:val="start"/>
        <w:rPr/>
      </w:pPr>
      <w:r>
        <w:rPr/>
      </w:r>
    </w:p>
    <w:p>
      <w:pPr>
        <w:pStyle w:val="Normal"/>
        <w:bidi w:val="0"/>
        <w:jc w:val="start"/>
        <w:rPr/>
      </w:pPr>
      <w:r>
        <w:rPr/>
        <w:t>3. **Incubation**: Seal plates to prevent evaporation and incubate shaking at 30°C for 16-48 hours, depending on reporter (shorter for lacZ, longer for growth).</w:t>
      </w:r>
    </w:p>
    <w:p>
      <w:pPr>
        <w:pStyle w:val="Normal"/>
        <w:bidi w:val="0"/>
        <w:jc w:val="start"/>
        <w:rPr/>
      </w:pPr>
      <w:r>
        <w:rPr/>
      </w:r>
    </w:p>
    <w:p>
      <w:pPr>
        <w:pStyle w:val="Normal"/>
        <w:bidi w:val="0"/>
        <w:jc w:val="start"/>
        <w:rPr/>
      </w:pPr>
      <w:r>
        <w:rPr/>
        <w:t>4. **Readout**: For lacZ, lyse cells with Z-buffer containing SDS and chloroform, add ONPG substrate, incubate at 37°C, and measure absorbance at 405 nm (Nomoto et al. 1990). For growth (HIS3), read OD600 directly. Calculate fold induction or EC50 from dose-responses.</w:t>
      </w:r>
    </w:p>
    <w:p>
      <w:pPr>
        <w:pStyle w:val="Normal"/>
        <w:bidi w:val="0"/>
        <w:jc w:val="start"/>
        <w:rPr/>
      </w:pPr>
      <w:r>
        <w:rPr/>
      </w:r>
    </w:p>
    <w:p>
      <w:pPr>
        <w:pStyle w:val="Normal"/>
        <w:bidi w:val="0"/>
        <w:jc w:val="start"/>
        <w:rPr/>
      </w:pPr>
      <w:r>
        <w:rPr/>
        <w:t>Liquid assays support miniaturization, reducing volumes to 10-20 μL in high-density plates for screening up to 10^6 compounds (Brown et al. 2000; Berg et al. 2000).</w:t>
      </w:r>
    </w:p>
    <w:p>
      <w:pPr>
        <w:pStyle w:val="Normal"/>
        <w:bidi w:val="0"/>
        <w:jc w:val="start"/>
        <w:rPr/>
      </w:pPr>
      <w:r>
        <w:rPr/>
      </w:r>
    </w:p>
    <w:p>
      <w:pPr>
        <w:pStyle w:val="Normal"/>
        <w:bidi w:val="0"/>
        <w:jc w:val="start"/>
        <w:rPr/>
      </w:pPr>
      <w:r>
        <w:rPr/>
        <w:t>## Solid Phase Assay Formats</w:t>
      </w:r>
    </w:p>
    <w:p>
      <w:pPr>
        <w:pStyle w:val="Normal"/>
        <w:bidi w:val="0"/>
        <w:jc w:val="start"/>
        <w:rPr/>
      </w:pPr>
      <w:r>
        <w:rPr/>
      </w:r>
    </w:p>
    <w:p>
      <w:pPr>
        <w:pStyle w:val="Normal"/>
        <w:bidi w:val="0"/>
        <w:jc w:val="start"/>
        <w:rPr/>
      </w:pPr>
      <w:r>
        <w:rPr/>
        <w:t>Solid phase formats immobilize cells on agar surfaces, enabling diffusion-based compound testing and visual detection of activation through growth patterns. They are straightforward for initial qualitative screens, requiring minimal equipment.</w:t>
      </w:r>
    </w:p>
    <w:p>
      <w:pPr>
        <w:pStyle w:val="Normal"/>
        <w:bidi w:val="0"/>
        <w:jc w:val="start"/>
        <w:rPr/>
      </w:pPr>
      <w:r>
        <w:rPr/>
      </w:r>
    </w:p>
    <w:p>
      <w:pPr>
        <w:pStyle w:val="Normal"/>
        <w:bidi w:val="0"/>
        <w:jc w:val="start"/>
        <w:rPr/>
      </w:pPr>
      <w:r>
        <w:rPr/>
        <w:t>### Procedures for Solid Assays</w:t>
      </w:r>
    </w:p>
    <w:p>
      <w:pPr>
        <w:pStyle w:val="Normal"/>
        <w:bidi w:val="0"/>
        <w:jc w:val="start"/>
        <w:rPr/>
      </w:pPr>
      <w:r>
        <w:rPr/>
        <w:t>1. **Agar Preparation**: Pour histidine-deficient agar plates (for HIS3) or standard selective agar (for lacZ). Spread 10^5-10^6 cells evenly across the surface using a sterile spreader.</w:t>
      </w:r>
    </w:p>
    <w:p>
      <w:pPr>
        <w:pStyle w:val="Normal"/>
        <w:bidi w:val="0"/>
        <w:jc w:val="start"/>
        <w:rPr/>
      </w:pPr>
      <w:r>
        <w:rPr/>
      </w:r>
    </w:p>
    <w:p>
      <w:pPr>
        <w:pStyle w:val="Normal"/>
        <w:bidi w:val="0"/>
        <w:jc w:val="start"/>
        <w:rPr/>
      </w:pPr>
      <w:r>
        <w:rPr/>
        <w:t>2. **Compound Application**: Spot 1-5 μL of compounds (10 mM stocks) directly onto the agar or use filter disks soaked in solutions. Include controls like vehicle (DMSO) and positive agonists (e.g., CGRP for CRLR/RAMP1; Miret et al. 2002).</w:t>
      </w:r>
    </w:p>
    <w:p>
      <w:pPr>
        <w:pStyle w:val="Normal"/>
        <w:bidi w:val="0"/>
        <w:jc w:val="start"/>
        <w:rPr/>
      </w:pPr>
      <w:r>
        <w:rPr/>
      </w:r>
    </w:p>
    <w:p>
      <w:pPr>
        <w:pStyle w:val="Normal"/>
        <w:bidi w:val="0"/>
        <w:jc w:val="start"/>
        <w:rPr/>
      </w:pPr>
      <w:r>
        <w:rPr/>
        <w:t>3. **Incubation**: Incubate plates at 30°C for 2-3 days. Observe growth: Halos or zones around spots indicate activation for HIS3; for lacZ, overlay with ONPG-agar and score color development.</w:t>
      </w:r>
    </w:p>
    <w:p>
      <w:pPr>
        <w:pStyle w:val="Normal"/>
        <w:bidi w:val="0"/>
        <w:jc w:val="start"/>
        <w:rPr/>
      </w:pPr>
      <w:r>
        <w:rPr/>
      </w:r>
    </w:p>
    <w:p>
      <w:pPr>
        <w:pStyle w:val="Normal"/>
        <w:bidi w:val="0"/>
        <w:jc w:val="start"/>
        <w:rPr/>
      </w:pPr>
      <w:r>
        <w:rPr/>
        <w:t>4. **Readout**: Visually assess or image plates for growth patterns. Quantify halo diameters for semi-quantitative data, or excise zones for secondary liquid confirmation.</w:t>
      </w:r>
    </w:p>
    <w:p>
      <w:pPr>
        <w:pStyle w:val="Normal"/>
        <w:bidi w:val="0"/>
        <w:jc w:val="start"/>
        <w:rPr/>
      </w:pPr>
      <w:r>
        <w:rPr/>
      </w:r>
    </w:p>
    <w:p>
      <w:pPr>
        <w:pStyle w:val="Normal"/>
        <w:bidi w:val="0"/>
        <w:jc w:val="start"/>
        <w:rPr/>
      </w:pPr>
      <w:r>
        <w:rPr/>
        <w:t>Solid assays are effective for large libraries, as compounds diffuse to create concentration gradients (Pausch 1997).</w:t>
      </w:r>
    </w:p>
    <w:p>
      <w:pPr>
        <w:pStyle w:val="Normal"/>
        <w:bidi w:val="0"/>
        <w:jc w:val="start"/>
        <w:rPr/>
      </w:pPr>
      <w:r>
        <w:rPr/>
      </w:r>
    </w:p>
    <w:p>
      <w:pPr>
        <w:pStyle w:val="Normal"/>
        <w:bidi w:val="0"/>
        <w:jc w:val="start"/>
        <w:rPr/>
      </w:pPr>
      <w:r>
        <w:rPr/>
        <w:t>## Comparison of Liquid and Solid Phase Formats</w:t>
      </w:r>
    </w:p>
    <w:p>
      <w:pPr>
        <w:pStyle w:val="Normal"/>
        <w:bidi w:val="0"/>
        <w:jc w:val="start"/>
        <w:rPr/>
      </w:pPr>
      <w:r>
        <w:rPr/>
      </w:r>
    </w:p>
    <w:p>
      <w:pPr>
        <w:pStyle w:val="Normal"/>
        <w:bidi w:val="0"/>
        <w:jc w:val="start"/>
        <w:rPr/>
      </w:pPr>
      <w:r>
        <w:rPr/>
        <w:t>Liquid formats offer higher precision and throughput, with automated dispensing and spectrophotometric readouts enabling dose-response curves and statistical analysis (e.g., Z'-factor &gt;0.5 for quality; Brown et al. 2000). They suit quantitative HTS but require plate readers and are prone to evaporation. Solid formats are simpler and cheaper, ideal for qualitative hit identification without automation, but less precise due to diffusion variability and manual scoring. Liquid excels for pharmacology (e.g., EC50 for opioid receptors; Lagane et al. 2000), while solid is better for initial screens of diverse compounds. Combine both: Use solid for primary hits, liquid for validation.</w:t>
      </w:r>
    </w:p>
    <w:p>
      <w:pPr>
        <w:pStyle w:val="Normal"/>
        <w:bidi w:val="0"/>
        <w:jc w:val="start"/>
        <w:rPr/>
      </w:pPr>
      <w:r>
        <w:rPr/>
      </w:r>
    </w:p>
    <w:p>
      <w:pPr>
        <w:pStyle w:val="Normal"/>
        <w:bidi w:val="0"/>
        <w:jc w:val="start"/>
        <w:rPr/>
      </w:pPr>
      <w:r>
        <w:rPr/>
        <w:t>## Practical Setup Tips</w:t>
      </w:r>
    </w:p>
    <w:p>
      <w:pPr>
        <w:pStyle w:val="Normal"/>
        <w:bidi w:val="0"/>
        <w:jc w:val="start"/>
        <w:rPr/>
      </w:pPr>
      <w:r>
        <w:rPr/>
      </w:r>
    </w:p>
    <w:p>
      <w:pPr>
        <w:pStyle w:val="Normal"/>
        <w:bidi w:val="0"/>
        <w:jc w:val="start"/>
        <w:rPr/>
      </w:pPr>
      <w:r>
        <w:rPr/>
        <w:t>- **Media and Conditions**: Use synthetic dropout media for selections, maintaining 30°C to preserve viability. For complex receptors like CRLR with RAMPs, ensure stable co-expression (Miret et al. 2002).</w:t>
      </w:r>
    </w:p>
    <w:p>
      <w:pPr>
        <w:pStyle w:val="Normal"/>
        <w:bidi w:val="0"/>
        <w:jc w:val="start"/>
        <w:rPr/>
      </w:pPr>
      <w:r>
        <w:rPr/>
        <w:t>- **Scaling**: Miniaturize liquid assays to 384-wells for efficiency (Berg et al. 2000); for solid, use large plates for multiple spots.</w:t>
      </w:r>
    </w:p>
    <w:p>
      <w:pPr>
        <w:pStyle w:val="Normal"/>
        <w:bidi w:val="0"/>
        <w:jc w:val="start"/>
        <w:rPr/>
      </w:pPr>
      <w:r>
        <w:rPr/>
        <w:t>- **Controls**: Always include no-ligand baselines and known ligands (e.g., from Olesnicky et al. 1999 for fungal receptors).</w:t>
      </w:r>
    </w:p>
    <w:p>
      <w:pPr>
        <w:pStyle w:val="Normal"/>
        <w:bidi w:val="0"/>
        <w:jc w:val="start"/>
        <w:rPr/>
      </w:pPr>
      <w:r>
        <w:rPr/>
        <w:t>- **Integration with HTS**: Adapt for automation by using robotic dispensers in liquid formats, screening thousands daily (Pausch 1997).</w:t>
      </w:r>
    </w:p>
    <w:p>
      <w:pPr>
        <w:pStyle w:val="Normal"/>
        <w:bidi w:val="0"/>
        <w:jc w:val="start"/>
        <w:rPr/>
      </w:pPr>
      <w:r>
        <w:rPr/>
      </w:r>
    </w:p>
    <w:p>
      <w:pPr>
        <w:pStyle w:val="Normal"/>
        <w:bidi w:val="0"/>
        <w:jc w:val="start"/>
        <w:rPr/>
      </w:pPr>
      <w:r>
        <w:rPr/>
        <w:t>## Troubleshooting Common Issues</w:t>
      </w:r>
    </w:p>
    <w:p>
      <w:pPr>
        <w:pStyle w:val="Normal"/>
        <w:bidi w:val="0"/>
        <w:jc w:val="start"/>
        <w:rPr/>
      </w:pPr>
      <w:r>
        <w:rPr/>
      </w:r>
    </w:p>
    <w:p>
      <w:pPr>
        <w:pStyle w:val="Normal"/>
        <w:bidi w:val="0"/>
        <w:jc w:val="start"/>
        <w:rPr/>
      </w:pPr>
      <w:r>
        <w:rPr/>
        <w:t>- **Inconsistent Signals**: In liquid, check for bubbles or uneven seeding; remix suspensions. In solid, ensure uniform cell spreading to avoid patchy growth.</w:t>
      </w:r>
    </w:p>
    <w:p>
      <w:pPr>
        <w:pStyle w:val="Normal"/>
        <w:bidi w:val="0"/>
        <w:jc w:val="start"/>
        <w:rPr/>
      </w:pPr>
      <w:r>
        <w:rPr/>
        <w:t>- **Background Activation**: Use far1Δ strains to minimize (Miret et al. 2002); test lower compound concentrations if toxicity occurs.</w:t>
      </w:r>
    </w:p>
    <w:p>
      <w:pPr>
        <w:pStyle w:val="Normal"/>
        <w:bidi w:val="0"/>
        <w:jc w:val="start"/>
        <w:rPr/>
      </w:pPr>
      <w:r>
        <w:rPr/>
        <w:t>- **Low Sensitivity**: Optimize incubation times or switch reporters (e.g., HIS3 for growth if lacZ is weak). Verify coupling with chimeras like Gpa1/Gαi2 (Olesnicky et al. 2000).</w:t>
      </w:r>
    </w:p>
    <w:p>
      <w:pPr>
        <w:pStyle w:val="Normal"/>
        <w:bidi w:val="0"/>
        <w:jc w:val="start"/>
        <w:rPr/>
      </w:pPr>
      <w:r>
        <w:rPr/>
        <w:t>- **Pharmacology Shifts**: Lipid effects may alter results (Lagane et al. 2000); supplement media with cholesterol for closer mammalian mimicry.</w:t>
      </w:r>
    </w:p>
    <w:p>
      <w:pPr>
        <w:pStyle w:val="Normal"/>
        <w:bidi w:val="0"/>
        <w:jc w:val="start"/>
        <w:rPr/>
      </w:pPr>
      <w:r>
        <w:rPr/>
      </w:r>
    </w:p>
    <w:p>
      <w:pPr>
        <w:pStyle w:val="Normal"/>
        <w:bidi w:val="0"/>
        <w:jc w:val="start"/>
        <w:rPr/>
      </w:pPr>
      <w:r>
        <w:rPr/>
        <w:t>These formats provide versatile, instructional tools for GPCR assays, balancing ease and precision for ligand discovery.</w:t>
      </w:r>
    </w:p>
    <w:p>
      <w:pPr>
        <w:pStyle w:val="Normal"/>
        <w:bidi w:val="0"/>
        <w:jc w:val="start"/>
        <w:rPr/>
      </w:pPr>
      <w:r>
        <w:rPr/>
      </w:r>
    </w:p>
    <w:p>
      <w:pPr>
        <w:pStyle w:val="Normal"/>
        <w:bidi w:val="0"/>
        <w:jc w:val="start"/>
        <w:rPr/>
      </w:pPr>
      <w:r>
        <w:rPr/>
        <w:t>(Word count: 602)</w:t>
      </w:r>
    </w:p>
    <w:p>
      <w:pPr>
        <w:pStyle w:val="Normal"/>
        <w:bidi w:val="0"/>
        <w:jc w:val="start"/>
        <w:rPr/>
      </w:pPr>
      <w:r>
        <w:rPr/>
      </w:r>
    </w:p>
    <w:p>
      <w:pPr>
        <w:pStyle w:val="Normal"/>
        <w:bidi w:val="0"/>
        <w:jc w:val="start"/>
        <w:rPr/>
      </w:pPr>
      <w:r>
        <w:rPr/>
        <w:t># Section 21: Miniaturization and Automation in Yeast GPCR Screens</w:t>
      </w:r>
    </w:p>
    <w:p>
      <w:pPr>
        <w:pStyle w:val="Normal"/>
        <w:bidi w:val="0"/>
        <w:jc w:val="start"/>
        <w:rPr/>
      </w:pPr>
      <w:r>
        <w:rPr/>
      </w:r>
    </w:p>
    <w:p>
      <w:pPr>
        <w:pStyle w:val="Normal"/>
        <w:bidi w:val="0"/>
        <w:jc w:val="start"/>
        <w:rPr/>
      </w:pPr>
      <w:r>
        <w:rPr/>
        <w:t>## Introduction to Miniaturization and Automation</w:t>
      </w:r>
    </w:p>
    <w:p>
      <w:pPr>
        <w:pStyle w:val="Normal"/>
        <w:bidi w:val="0"/>
        <w:jc w:val="start"/>
        <w:rPr/>
      </w:pPr>
      <w:r>
        <w:rPr/>
      </w:r>
    </w:p>
    <w:p>
      <w:pPr>
        <w:pStyle w:val="Normal"/>
        <w:bidi w:val="0"/>
        <w:jc w:val="start"/>
        <w:rPr/>
      </w:pPr>
      <w:r>
        <w:rPr/>
        <w:t>Miniaturization and automation are key advancements in yeast-based high-throughput screening (HTS) for G protein-coupled receptor (GPCR) ligand identification, enabling efficient processing of large compound libraries while reducing costs and reagent volumes. Yeast's simplicity, small cell size, and robust signaling pathways make it particularly well-suited for these adaptations, as highlighted in studies on assay development (Brown et al. 2000; Berg et al. 2000). Miniaturization involves scaling down assay volumes to formats like 384-well or higher-density plates, maintaining signal integrity through reporters such as FUS1-lacZ or FUS1-HIS3. Automation integrates robotic systems for dispensing, incubation, and readout, streamlining workflows for screening up to 10^6 compounds. These techniques build on liquid and solid phase formats, with liquid assays being more amenable to automation due to their compatibility with plate-based systems (Pausch 1997). This section provides instructional guidance on implementing miniaturization and automation, focusing on practical steps for GPCR screens using engineered strains with chimeras like Gpa1/Gαi2 or rat Gαs D229S.</w:t>
      </w:r>
    </w:p>
    <w:p>
      <w:pPr>
        <w:pStyle w:val="Normal"/>
        <w:bidi w:val="0"/>
        <w:jc w:val="start"/>
        <w:rPr/>
      </w:pPr>
      <w:r>
        <w:rPr/>
      </w:r>
    </w:p>
    <w:p>
      <w:pPr>
        <w:pStyle w:val="Normal"/>
        <w:bidi w:val="0"/>
        <w:jc w:val="start"/>
        <w:rPr/>
      </w:pPr>
      <w:r>
        <w:rPr/>
        <w:t>The primary driver for these developments is the need to screen expanding compound collections rapidly. Yeast assays retain dynamic range upon miniaturization, especially with fluorescent readouts, and do not require sophisticated equipment for basic setups, making them accessible for pharmacology labs (Brown et al. 2000; Berg et al. 2000). For example, screens for agonists of receptors like the A1 adenosine (Price et al. 1995, 1996) or orphan GPCRs (Klein et al. 1998) benefit from these efficiencies.</w:t>
      </w:r>
    </w:p>
    <w:p>
      <w:pPr>
        <w:pStyle w:val="Normal"/>
        <w:bidi w:val="0"/>
        <w:jc w:val="start"/>
        <w:rPr/>
      </w:pPr>
      <w:r>
        <w:rPr/>
      </w:r>
    </w:p>
    <w:p>
      <w:pPr>
        <w:pStyle w:val="Normal"/>
        <w:bidi w:val="0"/>
        <w:jc w:val="start"/>
        <w:rPr/>
      </w:pPr>
      <w:r>
        <w:rPr/>
        <w:t>## Benefits of Miniaturization in Yeast Assays</w:t>
      </w:r>
    </w:p>
    <w:p>
      <w:pPr>
        <w:pStyle w:val="Normal"/>
        <w:bidi w:val="0"/>
        <w:jc w:val="start"/>
        <w:rPr/>
      </w:pPr>
      <w:r>
        <w:rPr/>
      </w:r>
    </w:p>
    <w:p>
      <w:pPr>
        <w:pStyle w:val="Normal"/>
        <w:bidi w:val="0"/>
        <w:jc w:val="start"/>
        <w:rPr/>
      </w:pPr>
      <w:r>
        <w:rPr/>
        <w:t>Miniaturization reduces assay volumes from 100-200 μL in 96-well plates to 10-20 μL in 384-well or 1536-well formats, significantly lowering reagent costs and compound usage. Yeast's small cell size aids precise dispensing of low volumes, while its genetic stability ensures consistent performance across miniaturized setups. Fluorescent or enzymatic readouts, such as β-galactosidase from lacZ, maintain sensitivity without loss of dynamic range, unlike some mammalian systems that suffer from signal dilution (Brown et al. 2000). This allows screening of vast libraries (e.g., 10^6 compounds) in days rather than weeks, with positive signals like growth or enzyme activity indicating hits.</w:t>
      </w:r>
    </w:p>
    <w:p>
      <w:pPr>
        <w:pStyle w:val="Normal"/>
        <w:bidi w:val="0"/>
        <w:jc w:val="start"/>
        <w:rPr/>
      </w:pPr>
      <w:r>
        <w:rPr/>
      </w:r>
    </w:p>
    <w:p>
      <w:pPr>
        <w:pStyle w:val="Normal"/>
        <w:bidi w:val="0"/>
        <w:jc w:val="start"/>
        <w:rPr/>
      </w:pPr>
      <w:r>
        <w:rPr/>
        <w:t>Automation complements miniaturization by handling repetitive tasks, improving reproducibility and throughput. Robotic dispensers and plate readers enable unattended operation, reducing human error and labor. Together, these approaches make yeast ideal for HTS, as noted in comparisons to other cell-based systems where yeast's simplicity avoids the need for complex automation (Berg et al. 2000). Benefits include cost-effectiveness (inexpensive media, no sera), scalability for dozens of GPCRs annually, and adaptability to both liquid (quantitative) and solid (qualitative) formats.</w:t>
      </w:r>
    </w:p>
    <w:p>
      <w:pPr>
        <w:pStyle w:val="Normal"/>
        <w:bidi w:val="0"/>
        <w:jc w:val="start"/>
        <w:rPr/>
      </w:pPr>
      <w:r>
        <w:rPr/>
      </w:r>
    </w:p>
    <w:p>
      <w:pPr>
        <w:pStyle w:val="Normal"/>
        <w:bidi w:val="0"/>
        <w:jc w:val="start"/>
        <w:rPr/>
      </w:pPr>
      <w:r>
        <w:rPr/>
        <w:t>## Procedures for Miniaturizing Yeast GPCR Assays</w:t>
      </w:r>
    </w:p>
    <w:p>
      <w:pPr>
        <w:pStyle w:val="Normal"/>
        <w:bidi w:val="0"/>
        <w:jc w:val="start"/>
        <w:rPr/>
      </w:pPr>
      <w:r>
        <w:rPr/>
      </w:r>
    </w:p>
    <w:p>
      <w:pPr>
        <w:pStyle w:val="Normal"/>
        <w:bidi w:val="0"/>
        <w:jc w:val="start"/>
        <w:rPr/>
      </w:pPr>
      <w:r>
        <w:rPr/>
        <w:t>To miniaturize assays, focus on optimizing cell density, volumes, and readouts for high-density plates. Use strains with integrated reporters, GPCR expression under promoters like PGK1 or ADH1, and chimeras for coupling (e.g., Gpa1/Gα16 transplant for fungal receptors; Olesnicky et al. 1999).</w:t>
      </w:r>
    </w:p>
    <w:p>
      <w:pPr>
        <w:pStyle w:val="Normal"/>
        <w:bidi w:val="0"/>
        <w:jc w:val="start"/>
        <w:rPr/>
      </w:pPr>
      <w:r>
        <w:rPr/>
      </w:r>
    </w:p>
    <w:p>
      <w:pPr>
        <w:pStyle w:val="Normal"/>
        <w:bidi w:val="0"/>
        <w:jc w:val="start"/>
        <w:rPr/>
      </w:pPr>
      <w:r>
        <w:rPr/>
        <w:t>### Step-by-Step Miniaturization Protocol</w:t>
      </w:r>
    </w:p>
    <w:p>
      <w:pPr>
        <w:pStyle w:val="Normal"/>
        <w:bidi w:val="0"/>
        <w:jc w:val="start"/>
        <w:rPr/>
      </w:pPr>
      <w:r>
        <w:rPr/>
        <w:t>1. **Strain and Media Preparation**: Grow yeast (e.g., ste2Δ, far1Δ strains expressing CRLR with RAMPs; Miret et al. 2002) to log phase in selective synthetic media at 30°C. Dilute to OD600 ~0.05-0.1 in histidine-deficient media for HIS3 reporters or standard media for lacZ.</w:t>
      </w:r>
    </w:p>
    <w:p>
      <w:pPr>
        <w:pStyle w:val="Normal"/>
        <w:bidi w:val="0"/>
        <w:jc w:val="start"/>
        <w:rPr/>
      </w:pPr>
      <w:r>
        <w:rPr/>
      </w:r>
    </w:p>
    <w:p>
      <w:pPr>
        <w:pStyle w:val="Normal"/>
        <w:bidi w:val="0"/>
        <w:jc w:val="start"/>
        <w:rPr/>
      </w:pPr>
      <w:r>
        <w:rPr/>
        <w:t>2. **Plate Setup**: Use 384-well plates for liquid assays. Dispense 10-20 μL media per well with a multichannel pipette or automated dispenser. Add cells (e.g., 10^3-10^4 per well) to achieve uniform density, then add 0.1-0.5 μL compounds (10 mM DMSO stocks, final 10-50 μM) using pin tools or robotic pipettors.</w:t>
      </w:r>
    </w:p>
    <w:p>
      <w:pPr>
        <w:pStyle w:val="Normal"/>
        <w:bidi w:val="0"/>
        <w:jc w:val="start"/>
        <w:rPr/>
      </w:pPr>
      <w:r>
        <w:rPr/>
      </w:r>
    </w:p>
    <w:p>
      <w:pPr>
        <w:pStyle w:val="Normal"/>
        <w:bidi w:val="0"/>
        <w:jc w:val="start"/>
        <w:rPr/>
      </w:pPr>
      <w:r>
        <w:rPr/>
        <w:t>3. **Incubation**: Seal plates with breathable films to prevent evaporation and incubate shaking at 30°C for 24-48 hours. For solid phase miniaturization, use small agar pads in multi-well formats, spotting compounds via automated arrays.</w:t>
      </w:r>
    </w:p>
    <w:p>
      <w:pPr>
        <w:pStyle w:val="Normal"/>
        <w:bidi w:val="0"/>
        <w:jc w:val="start"/>
        <w:rPr/>
      </w:pPr>
      <w:r>
        <w:rPr/>
      </w:r>
    </w:p>
    <w:p>
      <w:pPr>
        <w:pStyle w:val="Normal"/>
        <w:bidi w:val="0"/>
        <w:jc w:val="start"/>
        <w:rPr/>
      </w:pPr>
      <w:r>
        <w:rPr/>
        <w:t>4. **Readout**: For lacZ, add 5 μL lysis buffer (Z-buffer with SDS/chloroform) and 2 μL ONPG substrate; incubate at 37°C and read absorbance at 405 nm with a microplate reader (Nomoto et al. 1990). For growth, measure OD600 directly. Analyze data for hits (&gt;2-fold over baseline).</w:t>
      </w:r>
    </w:p>
    <w:p>
      <w:pPr>
        <w:pStyle w:val="Normal"/>
        <w:bidi w:val="0"/>
        <w:jc w:val="start"/>
        <w:rPr/>
      </w:pPr>
      <w:r>
        <w:rPr/>
      </w:r>
    </w:p>
    <w:p>
      <w:pPr>
        <w:pStyle w:val="Normal"/>
        <w:bidi w:val="0"/>
        <w:jc w:val="start"/>
        <w:rPr/>
      </w:pPr>
      <w:r>
        <w:rPr/>
        <w:t>5. **Scaling to Higher Density**: Transition to 1536-well plates by further reducing volumes to 2-5 μL, adjusting cell numbers proportionally (Berg et al. 2000; Brown et al. 2000). Test pilot runs to calibrate dispensing accuracy.</w:t>
      </w:r>
    </w:p>
    <w:p>
      <w:pPr>
        <w:pStyle w:val="Normal"/>
        <w:bidi w:val="0"/>
        <w:jc w:val="start"/>
        <w:rPr/>
      </w:pPr>
      <w:r>
        <w:rPr/>
      </w:r>
    </w:p>
    <w:p>
      <w:pPr>
        <w:pStyle w:val="Normal"/>
        <w:bidi w:val="0"/>
        <w:jc w:val="start"/>
        <w:rPr/>
      </w:pPr>
      <w:r>
        <w:rPr/>
        <w:t>This protocol enables screening thousands of compounds per plate, with miniaturization preserving assay quality (Z' &gt;0.5).</w:t>
      </w:r>
    </w:p>
    <w:p>
      <w:pPr>
        <w:pStyle w:val="Normal"/>
        <w:bidi w:val="0"/>
        <w:jc w:val="start"/>
        <w:rPr/>
      </w:pPr>
      <w:r>
        <w:rPr/>
      </w:r>
    </w:p>
    <w:p>
      <w:pPr>
        <w:pStyle w:val="Normal"/>
        <w:bidi w:val="0"/>
        <w:jc w:val="start"/>
        <w:rPr/>
      </w:pPr>
      <w:r>
        <w:rPr/>
        <w:t>## Implementing Automation in Screens</w:t>
      </w:r>
    </w:p>
    <w:p>
      <w:pPr>
        <w:pStyle w:val="Normal"/>
        <w:bidi w:val="0"/>
        <w:jc w:val="start"/>
        <w:rPr/>
      </w:pPr>
      <w:r>
        <w:rPr/>
      </w:r>
    </w:p>
    <w:p>
      <w:pPr>
        <w:pStyle w:val="Normal"/>
        <w:bidi w:val="0"/>
        <w:jc w:val="start"/>
        <w:rPr/>
      </w:pPr>
      <w:r>
        <w:rPr/>
        <w:t>Automation enhances miniaturization by integrating liquid handling robots, incubators, and readers. Basic setups use multichannel pipettes for dispensing; advanced ones employ robotic arms for full workflows (Berg et al. 2000).</w:t>
      </w:r>
    </w:p>
    <w:p>
      <w:pPr>
        <w:pStyle w:val="Normal"/>
        <w:bidi w:val="0"/>
        <w:jc w:val="start"/>
        <w:rPr/>
      </w:pPr>
      <w:r>
        <w:rPr/>
      </w:r>
    </w:p>
    <w:p>
      <w:pPr>
        <w:pStyle w:val="Normal"/>
        <w:bidi w:val="0"/>
        <w:jc w:val="start"/>
        <w:rPr/>
      </w:pPr>
      <w:r>
        <w:rPr/>
        <w:t>### Step-by-Step Automation Protocol</w:t>
      </w:r>
    </w:p>
    <w:p>
      <w:pPr>
        <w:pStyle w:val="Normal"/>
        <w:bidi w:val="0"/>
        <w:jc w:val="start"/>
        <w:rPr/>
      </w:pPr>
      <w:r>
        <w:rPr/>
        <w:t>1. **System Configuration**: Set up a workstation with a liquid handler (e.g., for dispensing cells and compounds), stacker for plate storage, and integrated reader for OD600 or absorbance.</w:t>
      </w:r>
    </w:p>
    <w:p>
      <w:pPr>
        <w:pStyle w:val="Normal"/>
        <w:bidi w:val="0"/>
        <w:jc w:val="start"/>
        <w:rPr/>
      </w:pPr>
      <w:r>
        <w:rPr/>
      </w:r>
    </w:p>
    <w:p>
      <w:pPr>
        <w:pStyle w:val="Normal"/>
        <w:bidi w:val="0"/>
        <w:jc w:val="start"/>
        <w:rPr/>
      </w:pPr>
      <w:r>
        <w:rPr/>
        <w:t>2. **Automated Workflow**: Program the system to aspirate and dispense cell suspensions into plates, add compounds from library stocks, and transfer to incubators. After incubation, automate lysis and substrate addition for lacZ, followed by reading.</w:t>
      </w:r>
    </w:p>
    <w:p>
      <w:pPr>
        <w:pStyle w:val="Normal"/>
        <w:bidi w:val="0"/>
        <w:jc w:val="start"/>
        <w:rPr/>
      </w:pPr>
      <w:r>
        <w:rPr/>
      </w:r>
    </w:p>
    <w:p>
      <w:pPr>
        <w:pStyle w:val="Normal"/>
        <w:bidi w:val="0"/>
        <w:jc w:val="start"/>
        <w:rPr/>
      </w:pPr>
      <w:r>
        <w:rPr/>
        <w:t>3. **Data Management**: Use software to track plate maps, normalize data, and flag hits based on thresholds (e.g., fold induction).</w:t>
      </w:r>
    </w:p>
    <w:p>
      <w:pPr>
        <w:pStyle w:val="Normal"/>
        <w:bidi w:val="0"/>
        <w:jc w:val="start"/>
        <w:rPr/>
      </w:pPr>
      <w:r>
        <w:rPr/>
      </w:r>
    </w:p>
    <w:p>
      <w:pPr>
        <w:pStyle w:val="Normal"/>
        <w:bidi w:val="0"/>
        <w:jc w:val="start"/>
        <w:rPr/>
      </w:pPr>
      <w:r>
        <w:rPr/>
        <w:t>Automation supports unattended screening of 10^6 compounds, as in proprietary pharmaceutical applications (Pausch 1997; Klein et al. 1998).</w:t>
      </w:r>
    </w:p>
    <w:p>
      <w:pPr>
        <w:pStyle w:val="Normal"/>
        <w:bidi w:val="0"/>
        <w:jc w:val="start"/>
        <w:rPr/>
      </w:pPr>
      <w:r>
        <w:rPr/>
      </w:r>
    </w:p>
    <w:p>
      <w:pPr>
        <w:pStyle w:val="Normal"/>
        <w:bidi w:val="0"/>
        <w:jc w:val="start"/>
        <w:rPr/>
      </w:pPr>
      <w:r>
        <w:rPr/>
        <w:t>## Practical Guidance and Troubleshooting</w:t>
      </w:r>
    </w:p>
    <w:p>
      <w:pPr>
        <w:pStyle w:val="Normal"/>
        <w:bidi w:val="0"/>
        <w:jc w:val="start"/>
        <w:rPr/>
      </w:pPr>
      <w:r>
        <w:rPr/>
      </w:r>
    </w:p>
    <w:p>
      <w:pPr>
        <w:pStyle w:val="Normal"/>
        <w:bidi w:val="0"/>
        <w:jc w:val="start"/>
        <w:rPr/>
      </w:pPr>
      <w:r>
        <w:rPr/>
        <w:t>Start with 96-well pilots before scaling to 384-wells, verifying signals match larger formats. Culture in synthetic media at 30°C, refreshing stocks to avoid variability. For complex receptors like CRLR (Miret et al. 2002), ensure stable co-expression. Troubleshoot evaporation by using sealed plates or humidified incubators. Low signals? Increase incubation time or optimize chimeras (e.g., D229S for restrictions; Baranski et al. 1999). Inconsistent dispensing? Calibrate robots and use low-binding tips. Address lipid effects on pharmacology by supplementing media (Lagane et al. 2000). These strategies make yeast screens efficient for ligand discovery, combining miniaturization's economy with automation's speed.</w:t>
      </w:r>
    </w:p>
    <w:p>
      <w:pPr>
        <w:pStyle w:val="Normal"/>
        <w:bidi w:val="0"/>
        <w:jc w:val="start"/>
        <w:rPr/>
      </w:pPr>
      <w:r>
        <w:rPr/>
      </w:r>
    </w:p>
    <w:p>
      <w:pPr>
        <w:pStyle w:val="Normal"/>
        <w:bidi w:val="0"/>
        <w:jc w:val="start"/>
        <w:rPr/>
      </w:pPr>
      <w:r>
        <w:rPr/>
        <w:t>(Word count: 698)</w:t>
      </w:r>
    </w:p>
    <w:p>
      <w:pPr>
        <w:pStyle w:val="Normal"/>
        <w:bidi w:val="0"/>
        <w:jc w:val="start"/>
        <w:rPr/>
      </w:pPr>
      <w:r>
        <w:rPr/>
      </w:r>
    </w:p>
    <w:p>
      <w:pPr>
        <w:pStyle w:val="Normal"/>
        <w:bidi w:val="0"/>
        <w:jc w:val="start"/>
        <w:rPr/>
      </w:pPr>
      <w:r>
        <w:rPr/>
        <w:t># Section 22: Troubleshooting Common Issues in Yeast Expression Systems</w:t>
      </w:r>
    </w:p>
    <w:p>
      <w:pPr>
        <w:pStyle w:val="Normal"/>
        <w:bidi w:val="0"/>
        <w:jc w:val="start"/>
        <w:rPr/>
      </w:pPr>
      <w:r>
        <w:rPr/>
      </w:r>
    </w:p>
    <w:p>
      <w:pPr>
        <w:pStyle w:val="Normal"/>
        <w:bidi w:val="0"/>
        <w:jc w:val="start"/>
        <w:rPr/>
      </w:pPr>
      <w:r>
        <w:rPr/>
        <w:t>## Overview of Common Issues in Yeast Expression</w:t>
      </w:r>
    </w:p>
    <w:p>
      <w:pPr>
        <w:pStyle w:val="Normal"/>
        <w:bidi w:val="0"/>
        <w:jc w:val="start"/>
        <w:rPr/>
      </w:pPr>
      <w:r>
        <w:rPr/>
      </w:r>
    </w:p>
    <w:p>
      <w:pPr>
        <w:pStyle w:val="Normal"/>
        <w:bidi w:val="0"/>
        <w:jc w:val="start"/>
        <w:rPr/>
      </w:pPr>
      <w:r>
        <w:rPr/>
        <w:t>Yeast expression systems for G protein-coupled receptors (GPCRs) are robust but can encounter challenges that affect receptor production, coupling efficiency, and assay reliability. These issues often stem from genetic, biochemical, or environmental factors, such as plasmid instability, low expression levels, coupling failures due to G protein specificity, pharmacology discrepancies from lipid composition differences, and toxicity from overexpression. Drawing from established studies, this section provides instructional troubleshooting for these problems, focusing on diagnostic steps and solutions. Always verify issues systematically: Start with basic checks like strain genotype confirmation via PCR and culture conditions (e.g., 30°C in selective media). Use controls, such as known coupled receptors like neurotensin NT1 (Leplatois et al. 2001) or fungal Rcb1 (Olesnicky et al. 1999), to benchmark. Addressing these early prevents downstream assay failures in high-throughput screening (HTS) or functional studies.</w:t>
      </w:r>
    </w:p>
    <w:p>
      <w:pPr>
        <w:pStyle w:val="Normal"/>
        <w:bidi w:val="0"/>
        <w:jc w:val="start"/>
        <w:rPr/>
      </w:pPr>
      <w:r>
        <w:rPr/>
      </w:r>
    </w:p>
    <w:p>
      <w:pPr>
        <w:pStyle w:val="Normal"/>
        <w:bidi w:val="0"/>
        <w:jc w:val="start"/>
        <w:rPr/>
      </w:pPr>
      <w:r>
        <w:rPr/>
        <w:t>## Low Expression Levels</w:t>
      </w:r>
    </w:p>
    <w:p>
      <w:pPr>
        <w:pStyle w:val="Normal"/>
        <w:bidi w:val="0"/>
        <w:jc w:val="start"/>
        <w:rPr/>
      </w:pPr>
      <w:r>
        <w:rPr/>
      </w:r>
    </w:p>
    <w:p>
      <w:pPr>
        <w:pStyle w:val="Normal"/>
        <w:bidi w:val="0"/>
        <w:jc w:val="start"/>
        <w:rPr/>
      </w:pPr>
      <w:r>
        <w:rPr/>
        <w:t>Low GPCR expression can result from suboptimal promoters, plasmid loss, or toxicity, leading to weak signals in reporter assays like FUS1-lacZ.</w:t>
      </w:r>
    </w:p>
    <w:p>
      <w:pPr>
        <w:pStyle w:val="Normal"/>
        <w:bidi w:val="0"/>
        <w:jc w:val="start"/>
        <w:rPr/>
      </w:pPr>
      <w:r>
        <w:rPr/>
      </w:r>
    </w:p>
    <w:p>
      <w:pPr>
        <w:pStyle w:val="Normal"/>
        <w:bidi w:val="0"/>
        <w:jc w:val="start"/>
        <w:rPr/>
      </w:pPr>
      <w:r>
        <w:rPr/>
        <w:t>### Diagnostic Steps</w:t>
      </w:r>
    </w:p>
    <w:p>
      <w:pPr>
        <w:pStyle w:val="Normal"/>
        <w:bidi w:val="0"/>
        <w:jc w:val="start"/>
        <w:rPr/>
      </w:pPr>
      <w:r>
        <w:rPr/>
        <w:t>1. Confirm plasmid presence: Replica plate transformants on selective (e.g., SD-URA) and non-selective media to check stability.</w:t>
      </w:r>
    </w:p>
    <w:p>
      <w:pPr>
        <w:pStyle w:val="Normal"/>
        <w:bidi w:val="0"/>
        <w:jc w:val="start"/>
        <w:rPr/>
      </w:pPr>
      <w:r>
        <w:rPr/>
        <w:t>2. Assess protein levels: Perform Western blotting on membrane fractions using tagged receptors (e.g., HA-tag), lysing cells via glass beads and probing with anti-tag antibodies.</w:t>
      </w:r>
    </w:p>
    <w:p>
      <w:pPr>
        <w:pStyle w:val="Normal"/>
        <w:bidi w:val="0"/>
        <w:jc w:val="start"/>
        <w:rPr/>
      </w:pPr>
      <w:r>
        <w:rPr/>
        <w:t>3. Check mRNA: Use quantitative PCR to verify transcription from promoters like PGK1 or ADH1.</w:t>
      </w:r>
    </w:p>
    <w:p>
      <w:pPr>
        <w:pStyle w:val="Normal"/>
        <w:bidi w:val="0"/>
        <w:jc w:val="start"/>
        <w:rPr/>
      </w:pPr>
      <w:r>
        <w:rPr/>
      </w:r>
    </w:p>
    <w:p>
      <w:pPr>
        <w:pStyle w:val="Normal"/>
        <w:bidi w:val="0"/>
        <w:jc w:val="start"/>
        <w:rPr/>
      </w:pPr>
      <w:r>
        <w:rPr/>
        <w:t>### Solutions</w:t>
      </w:r>
    </w:p>
    <w:p>
      <w:pPr>
        <w:pStyle w:val="Normal"/>
        <w:bidi w:val="0"/>
        <w:jc w:val="start"/>
        <w:rPr/>
      </w:pPr>
      <w:r>
        <w:rPr/>
        <w:t>- Switch promoters: If PGK1 yields low expression (e.g., for Schizophyllum commune receptors; Fowler et al. 1999), try stronger options like GPD3 (Olesnicky et al. 1999, 2000) or inducible MET25 to titrate levels (Hegner et al. 1999).</w:t>
      </w:r>
    </w:p>
    <w:p>
      <w:pPr>
        <w:pStyle w:val="Normal"/>
        <w:bidi w:val="0"/>
        <w:jc w:val="start"/>
        <w:rPr/>
      </w:pPr>
      <w:r>
        <w:rPr/>
        <w:t>- Use integrating vectors: Replace episomal plasmids with genomic integration for stable, consistent expression, as in CRLR setups (Miret et al. 2002).</w:t>
      </w:r>
    </w:p>
    <w:p>
      <w:pPr>
        <w:pStyle w:val="Normal"/>
        <w:bidi w:val="0"/>
        <w:jc w:val="start"/>
        <w:rPr/>
      </w:pPr>
      <w:r>
        <w:rPr/>
        <w:t>- Optimize culture: Grow in rich YEPD media at 30°C to log phase (OD600 ~1.0) before induction; avoid overgrowth that depletes nutrients.</w:t>
      </w:r>
    </w:p>
    <w:p>
      <w:pPr>
        <w:pStyle w:val="Normal"/>
        <w:bidi w:val="0"/>
        <w:jc w:val="start"/>
        <w:rPr/>
      </w:pPr>
      <w:r>
        <w:rPr/>
      </w:r>
    </w:p>
    <w:p>
      <w:pPr>
        <w:pStyle w:val="Normal"/>
        <w:bidi w:val="0"/>
        <w:jc w:val="start"/>
        <w:rPr/>
      </w:pPr>
      <w:r>
        <w:rPr/>
        <w:t>## Coupling Failures</w:t>
      </w:r>
    </w:p>
    <w:p>
      <w:pPr>
        <w:pStyle w:val="Normal"/>
        <w:bidi w:val="0"/>
        <w:jc w:val="start"/>
        <w:rPr/>
      </w:pPr>
      <w:r>
        <w:rPr/>
      </w:r>
    </w:p>
    <w:p>
      <w:pPr>
        <w:pStyle w:val="Normal"/>
        <w:bidi w:val="0"/>
        <w:jc w:val="start"/>
        <w:rPr/>
      </w:pPr>
      <w:r>
        <w:rPr/>
        <w:t>Coupling failures occur when heterologous GPCRs do not efficiently interact with engineered G proteins, often due to specificity determinants like Asp229 in Gαi3 (Baranski et al. 1999).</w:t>
      </w:r>
    </w:p>
    <w:p>
      <w:pPr>
        <w:pStyle w:val="Normal"/>
        <w:bidi w:val="0"/>
        <w:jc w:val="start"/>
        <w:rPr/>
      </w:pPr>
      <w:r>
        <w:rPr/>
      </w:r>
    </w:p>
    <w:p>
      <w:pPr>
        <w:pStyle w:val="Normal"/>
        <w:bidi w:val="0"/>
        <w:jc w:val="start"/>
        <w:rPr/>
      </w:pPr>
      <w:r>
        <w:rPr/>
        <w:t>### Diagnostic Steps</w:t>
      </w:r>
    </w:p>
    <w:p>
      <w:pPr>
        <w:pStyle w:val="Normal"/>
        <w:bidi w:val="0"/>
        <w:jc w:val="start"/>
        <w:rPr/>
      </w:pPr>
      <w:r>
        <w:rPr/>
        <w:t>1. Test basic activation: Add known agonists and measure reporter output (e.g., β-galactosidase with ONPG; Nomoto et al. 1990) or growth on histidine-deficient media.</w:t>
      </w:r>
    </w:p>
    <w:p>
      <w:pPr>
        <w:pStyle w:val="Normal"/>
        <w:bidi w:val="0"/>
        <w:jc w:val="start"/>
        <w:rPr/>
      </w:pPr>
      <w:r>
        <w:rPr/>
        <w:t>2. Verify interactions: Use co-immunoprecipitation to check GPCR-Gα binding, tagging proteins and pulling down with antibodies.</w:t>
      </w:r>
    </w:p>
    <w:p>
      <w:pPr>
        <w:pStyle w:val="Normal"/>
        <w:bidi w:val="0"/>
        <w:jc w:val="start"/>
        <w:rPr/>
      </w:pPr>
      <w:r>
        <w:rPr/>
        <w:t>3. Assess G protein expression: Western blot chimeric Gα (e.g., Gpa1/Gαi2 transplant) to confirm levels.</w:t>
      </w:r>
    </w:p>
    <w:p>
      <w:pPr>
        <w:pStyle w:val="Normal"/>
        <w:bidi w:val="0"/>
        <w:jc w:val="start"/>
        <w:rPr/>
      </w:pPr>
      <w:r>
        <w:rPr/>
      </w:r>
    </w:p>
    <w:p>
      <w:pPr>
        <w:pStyle w:val="Normal"/>
        <w:bidi w:val="0"/>
        <w:jc w:val="start"/>
        <w:rPr/>
      </w:pPr>
      <w:r>
        <w:rPr/>
        <w:t>### Solutions</w:t>
      </w:r>
    </w:p>
    <w:p>
      <w:pPr>
        <w:pStyle w:val="Normal"/>
        <w:bidi w:val="0"/>
        <w:jc w:val="start"/>
        <w:rPr/>
      </w:pPr>
      <w:r>
        <w:rPr/>
        <w:t>- Modify G proteins: For restrictions (e.g., Asp229 limiting ML1B coupling), mutate to non-restrictive residues like D229A or D229S (Baranski et al. 1999; Miret et al. 2002). Reconstruct via site-directed mutagenesis and retest.</w:t>
      </w:r>
    </w:p>
    <w:p>
      <w:pPr>
        <w:pStyle w:val="Normal"/>
        <w:bidi w:val="0"/>
        <w:jc w:val="start"/>
        <w:rPr/>
      </w:pPr>
      <w:r>
        <w:rPr/>
        <w:t>- Test chimera variants: Switch from native Gpa1p (e.g., for NT1; Leplatois et al. 2001) to transplants (e.g., Gpa1/Gα16 for Rcb1; Olesnicky et al. 1999) or Cadus-type with random fusions (Manfredi et al. 1996).</w:t>
      </w:r>
    </w:p>
    <w:p>
      <w:pPr>
        <w:pStyle w:val="Normal"/>
        <w:bidi w:val="0"/>
        <w:jc w:val="start"/>
        <w:rPr/>
      </w:pPr>
      <w:r>
        <w:rPr/>
        <w:t>- Incorporate fusions: If needed, create GPCR-Gα fusions to force interactions (Medici et al. 1997), cloning via PCR and verifying via sequencing.</w:t>
      </w:r>
    </w:p>
    <w:p>
      <w:pPr>
        <w:pStyle w:val="Normal"/>
        <w:bidi w:val="0"/>
        <w:jc w:val="start"/>
        <w:rPr/>
      </w:pPr>
      <w:r>
        <w:rPr/>
      </w:r>
    </w:p>
    <w:p>
      <w:pPr>
        <w:pStyle w:val="Normal"/>
        <w:bidi w:val="0"/>
        <w:jc w:val="start"/>
        <w:rPr/>
      </w:pPr>
      <w:r>
        <w:rPr/>
        <w:t>## Pharmacology Discrepancies Due to Lipid Composition</w:t>
      </w:r>
    </w:p>
    <w:p>
      <w:pPr>
        <w:pStyle w:val="Normal"/>
        <w:bidi w:val="0"/>
        <w:jc w:val="start"/>
        <w:rPr/>
      </w:pPr>
      <w:r>
        <w:rPr/>
      </w:r>
    </w:p>
    <w:p>
      <w:pPr>
        <w:pStyle w:val="Normal"/>
        <w:bidi w:val="0"/>
        <w:jc w:val="start"/>
        <w:rPr/>
      </w:pPr>
      <w:r>
        <w:rPr/>
        <w:t>Yeast membrane lipids (e.g., ergosterol) differ from mammalian cholesterol, potentially altering ligand affinities and pharmacology (Lagane et al. 2000).</w:t>
      </w:r>
    </w:p>
    <w:p>
      <w:pPr>
        <w:pStyle w:val="Normal"/>
        <w:bidi w:val="0"/>
        <w:jc w:val="start"/>
        <w:rPr/>
      </w:pPr>
      <w:r>
        <w:rPr/>
      </w:r>
    </w:p>
    <w:p>
      <w:pPr>
        <w:pStyle w:val="Normal"/>
        <w:bidi w:val="0"/>
        <w:jc w:val="start"/>
        <w:rPr/>
      </w:pPr>
      <w:r>
        <w:rPr/>
        <w:t>### Diagnostic Steps</w:t>
      </w:r>
    </w:p>
    <w:p>
      <w:pPr>
        <w:pStyle w:val="Normal"/>
        <w:bidi w:val="0"/>
        <w:jc w:val="start"/>
        <w:rPr/>
      </w:pPr>
      <w:r>
        <w:rPr/>
        <w:t>1. Compare affinities: Perform radioligand binding assays on yeast membranes, calculating Kd values against mammalian data.</w:t>
      </w:r>
    </w:p>
    <w:p>
      <w:pPr>
        <w:pStyle w:val="Normal"/>
        <w:bidi w:val="0"/>
        <w:jc w:val="start"/>
        <w:rPr/>
      </w:pPr>
      <w:r>
        <w:rPr/>
        <w:t>2. Generate dose-responses: Use FUS1-lacZ assays to plot EC50 shifts with agonists.</w:t>
      </w:r>
    </w:p>
    <w:p>
      <w:pPr>
        <w:pStyle w:val="Normal"/>
        <w:bidi w:val="0"/>
        <w:jc w:val="start"/>
        <w:rPr/>
      </w:pPr>
      <w:r>
        <w:rPr/>
      </w:r>
    </w:p>
    <w:p>
      <w:pPr>
        <w:pStyle w:val="Normal"/>
        <w:bidi w:val="0"/>
        <w:jc w:val="start"/>
        <w:rPr/>
      </w:pPr>
      <w:r>
        <w:rPr/>
        <w:t>### Solutions</w:t>
      </w:r>
    </w:p>
    <w:p>
      <w:pPr>
        <w:pStyle w:val="Normal"/>
        <w:bidi w:val="0"/>
        <w:jc w:val="start"/>
        <w:rPr/>
      </w:pPr>
      <w:r>
        <w:rPr/>
        <w:t>- Supplement lipids: Add cholesterol (10 μg/mL) to media during culture to mimic mammalian environments, then retest binding (Lagane et al. 2000).</w:t>
      </w:r>
    </w:p>
    <w:p>
      <w:pPr>
        <w:pStyle w:val="Normal"/>
        <w:bidi w:val="0"/>
        <w:jc w:val="start"/>
        <w:rPr/>
      </w:pPr>
      <w:r>
        <w:rPr/>
        <w:t>- Validate in parallel: Express the GPCR (e.g., opioid receptors) in mammalian cells for comparison, confirming yeast data as preliminary.</w:t>
      </w:r>
    </w:p>
    <w:p>
      <w:pPr>
        <w:pStyle w:val="Normal"/>
        <w:bidi w:val="0"/>
        <w:jc w:val="start"/>
        <w:rPr/>
      </w:pPr>
      <w:r>
        <w:rPr/>
        <w:t>- Optimize strains: Use strains with modified lipid pathways if available, or adjust incubation temperatures to stabilize membranes.</w:t>
      </w:r>
    </w:p>
    <w:p>
      <w:pPr>
        <w:pStyle w:val="Normal"/>
        <w:bidi w:val="0"/>
        <w:jc w:val="start"/>
        <w:rPr/>
      </w:pPr>
      <w:r>
        <w:rPr/>
      </w:r>
    </w:p>
    <w:p>
      <w:pPr>
        <w:pStyle w:val="Normal"/>
        <w:bidi w:val="0"/>
        <w:jc w:val="start"/>
        <w:rPr/>
      </w:pPr>
      <w:r>
        <w:rPr/>
        <w:t>## Toxicity and Viability Issues</w:t>
      </w:r>
    </w:p>
    <w:p>
      <w:pPr>
        <w:pStyle w:val="Normal"/>
        <w:bidi w:val="0"/>
        <w:jc w:val="start"/>
        <w:rPr/>
      </w:pPr>
      <w:r>
        <w:rPr/>
      </w:r>
    </w:p>
    <w:p>
      <w:pPr>
        <w:pStyle w:val="Normal"/>
        <w:bidi w:val="0"/>
        <w:jc w:val="start"/>
        <w:rPr/>
      </w:pPr>
      <w:r>
        <w:rPr/>
        <w:t>Overexpression can cause toxicity, inhibiting growth or causing cell death, especially for toxic GPCRs.</w:t>
      </w:r>
    </w:p>
    <w:p>
      <w:pPr>
        <w:pStyle w:val="Normal"/>
        <w:bidi w:val="0"/>
        <w:jc w:val="start"/>
        <w:rPr/>
      </w:pPr>
      <w:r>
        <w:rPr/>
      </w:r>
    </w:p>
    <w:p>
      <w:pPr>
        <w:pStyle w:val="Normal"/>
        <w:bidi w:val="0"/>
        <w:jc w:val="start"/>
        <w:rPr/>
      </w:pPr>
      <w:r>
        <w:rPr/>
        <w:t>### Diagnostic Steps</w:t>
      </w:r>
    </w:p>
    <w:p>
      <w:pPr>
        <w:pStyle w:val="Normal"/>
        <w:bidi w:val="0"/>
        <w:jc w:val="start"/>
        <w:rPr/>
      </w:pPr>
      <w:r>
        <w:rPr/>
        <w:t>1. Monitor growth: Compare OD600 curves of expressing vs. non-expressing strains.</w:t>
      </w:r>
    </w:p>
    <w:p>
      <w:pPr>
        <w:pStyle w:val="Normal"/>
        <w:bidi w:val="0"/>
        <w:jc w:val="start"/>
        <w:rPr/>
      </w:pPr>
      <w:r>
        <w:rPr/>
        <w:t>2. Check morphology: Use microscopy to detect abnormalities like enlarged cells.</w:t>
      </w:r>
    </w:p>
    <w:p>
      <w:pPr>
        <w:pStyle w:val="Normal"/>
        <w:bidi w:val="0"/>
        <w:jc w:val="start"/>
        <w:rPr/>
      </w:pPr>
      <w:r>
        <w:rPr/>
      </w:r>
    </w:p>
    <w:p>
      <w:pPr>
        <w:pStyle w:val="Normal"/>
        <w:bidi w:val="0"/>
        <w:jc w:val="start"/>
        <w:rPr/>
      </w:pPr>
      <w:r>
        <w:rPr/>
        <w:t>### Solutions</w:t>
      </w:r>
    </w:p>
    <w:p>
      <w:pPr>
        <w:pStyle w:val="Normal"/>
        <w:bidi w:val="0"/>
        <w:jc w:val="start"/>
        <w:rPr/>
      </w:pPr>
      <w:r>
        <w:rPr/>
        <w:t>- Use inducible promoters: Employ MET25 for controlled expression by methionine depletion, reducing toxicity (Hegner et al. 1999).</w:t>
      </w:r>
    </w:p>
    <w:p>
      <w:pPr>
        <w:pStyle w:val="Normal"/>
        <w:bidi w:val="0"/>
        <w:jc w:val="start"/>
        <w:rPr/>
      </w:pPr>
      <w:r>
        <w:rPr/>
        <w:t>- Incorporate far1Δ: Prevent cell cycle arrest in strains for better viability during activation (e.g., in CRLR reconstitutions; Miret et al. 2002).</w:t>
      </w:r>
    </w:p>
    <w:p>
      <w:pPr>
        <w:pStyle w:val="Normal"/>
        <w:bidi w:val="0"/>
        <w:jc w:val="start"/>
        <w:rPr/>
      </w:pPr>
      <w:r>
        <w:rPr/>
        <w:t>- Titrate expression: Lower plasmid copy number with centromeric vectors or dilute inducers.</w:t>
      </w:r>
    </w:p>
    <w:p>
      <w:pPr>
        <w:pStyle w:val="Normal"/>
        <w:bidi w:val="0"/>
        <w:jc w:val="start"/>
        <w:rPr/>
      </w:pPr>
      <w:r>
        <w:rPr/>
      </w:r>
    </w:p>
    <w:p>
      <w:pPr>
        <w:pStyle w:val="Normal"/>
        <w:bidi w:val="0"/>
        <w:jc w:val="start"/>
        <w:rPr/>
      </w:pPr>
      <w:r>
        <w:rPr/>
        <w:t>## Plasmid Instability and Strain Maintenance</w:t>
      </w:r>
    </w:p>
    <w:p>
      <w:pPr>
        <w:pStyle w:val="Normal"/>
        <w:bidi w:val="0"/>
        <w:jc w:val="start"/>
        <w:rPr/>
      </w:pPr>
      <w:r>
        <w:rPr/>
      </w:r>
    </w:p>
    <w:p>
      <w:pPr>
        <w:pStyle w:val="Normal"/>
        <w:bidi w:val="0"/>
        <w:jc w:val="start"/>
        <w:rPr/>
      </w:pPr>
      <w:r>
        <w:rPr/>
        <w:t>Plasmid loss leads to inconsistent expression, common in non-selective conditions.</w:t>
      </w:r>
    </w:p>
    <w:p>
      <w:pPr>
        <w:pStyle w:val="Normal"/>
        <w:bidi w:val="0"/>
        <w:jc w:val="start"/>
        <w:rPr/>
      </w:pPr>
      <w:r>
        <w:rPr/>
      </w:r>
    </w:p>
    <w:p>
      <w:pPr>
        <w:pStyle w:val="Normal"/>
        <w:bidi w:val="0"/>
        <w:jc w:val="start"/>
        <w:rPr/>
      </w:pPr>
      <w:r>
        <w:rPr/>
        <w:t>### Diagnostic Steps</w:t>
      </w:r>
    </w:p>
    <w:p>
      <w:pPr>
        <w:pStyle w:val="Normal"/>
        <w:bidi w:val="0"/>
        <w:jc w:val="start"/>
        <w:rPr/>
      </w:pPr>
      <w:r>
        <w:rPr/>
        <w:t>1. Test retention: Plate on selective vs. non-selective media and count colonies.</w:t>
      </w:r>
    </w:p>
    <w:p>
      <w:pPr>
        <w:pStyle w:val="Normal"/>
        <w:bidi w:val="0"/>
        <w:jc w:val="start"/>
        <w:rPr/>
      </w:pPr>
      <w:r>
        <w:rPr/>
        <w:t>2. Sequence constructs: Verify no mutations via PCR and sequencing.</w:t>
      </w:r>
    </w:p>
    <w:p>
      <w:pPr>
        <w:pStyle w:val="Normal"/>
        <w:bidi w:val="0"/>
        <w:jc w:val="start"/>
        <w:rPr/>
      </w:pPr>
      <w:r>
        <w:rPr/>
      </w:r>
    </w:p>
    <w:p>
      <w:pPr>
        <w:pStyle w:val="Normal"/>
        <w:bidi w:val="0"/>
        <w:jc w:val="start"/>
        <w:rPr/>
      </w:pPr>
      <w:r>
        <w:rPr/>
        <w:t>### Solutions</w:t>
      </w:r>
    </w:p>
    <w:p>
      <w:pPr>
        <w:pStyle w:val="Normal"/>
        <w:bidi w:val="0"/>
        <w:jc w:val="start"/>
        <w:rPr/>
      </w:pPr>
      <w:r>
        <w:rPr/>
        <w:t>- Use integrating plasmids: Integrate GPCR and chimera genes into the genome for stability (e.g., via homologous recombination; Olesnicky et al. 2000).</w:t>
      </w:r>
    </w:p>
    <w:p>
      <w:pPr>
        <w:pStyle w:val="Normal"/>
        <w:bidi w:val="0"/>
        <w:jc w:val="start"/>
        <w:rPr/>
      </w:pPr>
      <w:r>
        <w:rPr/>
        <w:t>- Maintain selections: Always culture in dropout media (e.g., SD-LEU for LEU2 markers) and refresh stocks weekly at -80°C in glycerol.</w:t>
      </w:r>
    </w:p>
    <w:p>
      <w:pPr>
        <w:pStyle w:val="Normal"/>
        <w:bidi w:val="0"/>
        <w:jc w:val="start"/>
        <w:rPr/>
      </w:pPr>
      <w:r>
        <w:rPr/>
        <w:t>- Cryopreserve strains: Store multiple aliquots to avoid genetic drift.</w:t>
      </w:r>
    </w:p>
    <w:p>
      <w:pPr>
        <w:pStyle w:val="Normal"/>
        <w:bidi w:val="0"/>
        <w:jc w:val="start"/>
        <w:rPr/>
      </w:pPr>
      <w:r>
        <w:rPr/>
      </w:r>
    </w:p>
    <w:p>
      <w:pPr>
        <w:pStyle w:val="Normal"/>
        <w:bidi w:val="0"/>
        <w:jc w:val="start"/>
        <w:rPr/>
      </w:pPr>
      <w:r>
        <w:rPr/>
        <w:t>By systematically addressing these issues, yeast systems can achieve reliable GPCR expression and coupling, supporting applications like HTS (Pausch 1997; Klein et al. 1998).</w:t>
      </w:r>
    </w:p>
    <w:p>
      <w:pPr>
        <w:pStyle w:val="Normal"/>
        <w:bidi w:val="0"/>
        <w:jc w:val="start"/>
        <w:rPr/>
      </w:pPr>
      <w:r>
        <w:rPr/>
      </w:r>
    </w:p>
    <w:p>
      <w:pPr>
        <w:pStyle w:val="Normal"/>
        <w:bidi w:val="0"/>
        <w:jc w:val="start"/>
        <w:rPr/>
      </w:pPr>
      <w:r>
        <w:rPr/>
        <w:t>(Word count: 652)</w:t>
      </w:r>
    </w:p>
    <w:p>
      <w:pPr>
        <w:pStyle w:val="Normal"/>
        <w:bidi w:val="0"/>
        <w:jc w:val="start"/>
        <w:rPr/>
      </w:pPr>
      <w:r>
        <w:rPr/>
      </w:r>
    </w:p>
    <w:p>
      <w:pPr>
        <w:pStyle w:val="Normal"/>
        <w:bidi w:val="0"/>
        <w:jc w:val="start"/>
        <w:rPr/>
      </w:pPr>
      <w:r>
        <w:rPr/>
        <w:t># Section 23: Addressing Coupling Failures and Specificity Problems</w:t>
      </w:r>
    </w:p>
    <w:p>
      <w:pPr>
        <w:pStyle w:val="Normal"/>
        <w:bidi w:val="0"/>
        <w:jc w:val="start"/>
        <w:rPr/>
      </w:pPr>
      <w:r>
        <w:rPr/>
      </w:r>
    </w:p>
    <w:p>
      <w:pPr>
        <w:pStyle w:val="Normal"/>
        <w:bidi w:val="0"/>
        <w:jc w:val="start"/>
        <w:rPr/>
      </w:pPr>
      <w:r>
        <w:rPr/>
        <w:t>## Understanding Coupling Failures and Specificity Issues</w:t>
      </w:r>
    </w:p>
    <w:p>
      <w:pPr>
        <w:pStyle w:val="Normal"/>
        <w:bidi w:val="0"/>
        <w:jc w:val="start"/>
        <w:rPr/>
      </w:pPr>
      <w:r>
        <w:rPr/>
      </w:r>
    </w:p>
    <w:p>
      <w:pPr>
        <w:pStyle w:val="Normal"/>
        <w:bidi w:val="0"/>
        <w:jc w:val="start"/>
        <w:rPr/>
      </w:pPr>
      <w:r>
        <w:rPr/>
        <w:t>Coupling failures in yeast-based G protein-coupled receptor (GPCR) systems occur when heterologous receptors do not effectively activate the pheromone-response pathway, often due to mismatches in receptor-G protein interactions. Specificity problems arise from restrictive elements in G alpha (Gα) subunits that limit compatibility, such as certain amino acid residues that constrain coupling to particular GPCRs. These issues can hinder functional assays, ligand screening, and pharmacological studies, but they can be addressed through targeted modifications to G proteins, as demonstrated in various studies. For instance, not all mammalian GPCRs couple efficiently to native yeast Gpa1, necessitating chimeras to bridge interactions. Specificity determinants, like the Asp229 residue in Gαi3, can restrict coupling, but mutations can alleviate this (Baranski et al. 1999). This section provides instructional strategies to diagnose and resolve these problems, drawing on examples like fungal receptors from Coprinus cinereus (Olesnicky et al. 1999, 2000) and mammalian complexes like CRLR with RAMPs (Miret et al. 2002). Approach troubleshooting systematically: Start with verification of expression and basic activation, then iterate on G protein engineering.</w:t>
      </w:r>
    </w:p>
    <w:p>
      <w:pPr>
        <w:pStyle w:val="Normal"/>
        <w:bidi w:val="0"/>
        <w:jc w:val="start"/>
        <w:rPr/>
      </w:pPr>
      <w:r>
        <w:rPr/>
      </w:r>
    </w:p>
    <w:p>
      <w:pPr>
        <w:pStyle w:val="Normal"/>
        <w:bidi w:val="0"/>
        <w:jc w:val="start"/>
        <w:rPr/>
      </w:pPr>
      <w:r>
        <w:rPr/>
        <w:t>## Common Causes of Coupling Failures</w:t>
      </w:r>
    </w:p>
    <w:p>
      <w:pPr>
        <w:pStyle w:val="Normal"/>
        <w:bidi w:val="0"/>
        <w:jc w:val="start"/>
        <w:rPr/>
      </w:pPr>
      <w:r>
        <w:rPr/>
      </w:r>
    </w:p>
    <w:p>
      <w:pPr>
        <w:pStyle w:val="Normal"/>
        <w:bidi w:val="0"/>
        <w:jc w:val="start"/>
        <w:rPr/>
      </w:pPr>
      <w:r>
        <w:rPr/>
        <w:t>Coupling failures often stem from incompatible receptor-G protein interfaces, where the heterologous GPCR cannot promote GDP-GTP exchange on Gpa1 or chimeric Gα subunits. This leads to no release of Gβγ (Ste4/Ste18) and thus no activation of the MAP kinase cascade (Ste11, Ste7, Fus3) or reporters like FUS1-lacZ (Nomoto et al. 1990). Causes include:</w:t>
      </w:r>
    </w:p>
    <w:p>
      <w:pPr>
        <w:pStyle w:val="Normal"/>
        <w:bidi w:val="0"/>
        <w:jc w:val="start"/>
        <w:rPr/>
      </w:pPr>
      <w:r>
        <w:rPr/>
      </w:r>
    </w:p>
    <w:p>
      <w:pPr>
        <w:pStyle w:val="Normal"/>
        <w:bidi w:val="0"/>
        <w:jc w:val="start"/>
        <w:rPr/>
      </w:pPr>
      <w:r>
        <w:rPr/>
        <w:t>- **Specificity Restrictions**: Residues in mammalian Gα, such as Asp229 in Gαi3 (equivalent to Ala230 in Gαi2), can prevent coupling by affecting Gα conformation, as seen in chimeras restricting receptors like ML1B (Baranski et al. 1999).</w:t>
      </w:r>
    </w:p>
    <w:p>
      <w:pPr>
        <w:pStyle w:val="Normal"/>
        <w:bidi w:val="0"/>
        <w:jc w:val="start"/>
        <w:rPr/>
      </w:pPr>
      <w:r>
        <w:rPr/>
        <w:t>- **Structural Mismatches**: Differences in C-terminal regions or switch domains (loops II and III) between yeast Gpa1 and mammalian Gα limit interactions, per structural insights (Lambright et al. 1996; Wall et al. 1995).</w:t>
      </w:r>
    </w:p>
    <w:p>
      <w:pPr>
        <w:pStyle w:val="Normal"/>
        <w:bidi w:val="0"/>
        <w:jc w:val="start"/>
        <w:rPr/>
      </w:pPr>
      <w:r>
        <w:rPr/>
        <w:t>- **Accessory Factor Absence**: Complex receptors like CRLR require RAMPs for functionality; without co-expression, coupling fails (Miret et al. 2002; Milligan and White 2001).</w:t>
      </w:r>
    </w:p>
    <w:p>
      <w:pPr>
        <w:pStyle w:val="Normal"/>
        <w:bidi w:val="0"/>
        <w:jc w:val="start"/>
        <w:rPr/>
      </w:pPr>
      <w:r>
        <w:rPr/>
        <w:t>- **Lipid Environment Effects**: Yeast membrane lipids (e.g., ergosterol) differ from mammalian ones, potentially altering receptor conformation and coupling efficiency (Lagane et al. 2000).</w:t>
      </w:r>
    </w:p>
    <w:p>
      <w:pPr>
        <w:pStyle w:val="Normal"/>
        <w:bidi w:val="0"/>
        <w:jc w:val="start"/>
        <w:rPr/>
      </w:pPr>
      <w:r>
        <w:rPr/>
      </w:r>
    </w:p>
    <w:p>
      <w:pPr>
        <w:pStyle w:val="Normal"/>
        <w:bidi w:val="0"/>
        <w:jc w:val="start"/>
        <w:rPr/>
      </w:pPr>
      <w:r>
        <w:rPr/>
        <w:t>Species-specific variations exacerbate issues: Fungal GPCRs (e.g., Rcb1 from Coprinus cinereus) often couple via transplant chimeras, while mammalian ones may need mutations (Olesnicky et al. 1999; Leplatois et al. 2001).</w:t>
      </w:r>
    </w:p>
    <w:p>
      <w:pPr>
        <w:pStyle w:val="Normal"/>
        <w:bidi w:val="0"/>
        <w:jc w:val="start"/>
        <w:rPr/>
      </w:pPr>
      <w:r>
        <w:rPr/>
      </w:r>
    </w:p>
    <w:p>
      <w:pPr>
        <w:pStyle w:val="Normal"/>
        <w:bidi w:val="0"/>
        <w:jc w:val="start"/>
        <w:rPr/>
      </w:pPr>
      <w:r>
        <w:rPr/>
        <w:t>## Diagnostic Steps for Coupling Issues</w:t>
      </w:r>
    </w:p>
    <w:p>
      <w:pPr>
        <w:pStyle w:val="Normal"/>
        <w:bidi w:val="0"/>
        <w:jc w:val="start"/>
        <w:rPr/>
      </w:pPr>
      <w:r>
        <w:rPr/>
      </w:r>
    </w:p>
    <w:p>
      <w:pPr>
        <w:pStyle w:val="Normal"/>
        <w:bidi w:val="0"/>
        <w:jc w:val="start"/>
        <w:rPr/>
      </w:pPr>
      <w:r>
        <w:rPr/>
        <w:t>Before solutions, diagnose the root cause with these steps:</w:t>
      </w:r>
    </w:p>
    <w:p>
      <w:pPr>
        <w:pStyle w:val="Normal"/>
        <w:bidi w:val="0"/>
        <w:jc w:val="start"/>
        <w:rPr/>
      </w:pPr>
      <w:r>
        <w:rPr/>
      </w:r>
    </w:p>
    <w:p>
      <w:pPr>
        <w:pStyle w:val="Normal"/>
        <w:bidi w:val="0"/>
        <w:jc w:val="start"/>
        <w:rPr/>
      </w:pPr>
      <w:r>
        <w:rPr/>
        <w:t>1. **Verify Expression and Localization**: Use Western blotting on membrane fractions to confirm GPCR and Gα levels (e.g., tag with HA or FLAG). Check plasma membrane targeting via immunofluorescence.</w:t>
      </w:r>
    </w:p>
    <w:p>
      <w:pPr>
        <w:pStyle w:val="Normal"/>
        <w:bidi w:val="0"/>
        <w:jc w:val="start"/>
        <w:rPr/>
      </w:pPr>
      <w:r>
        <w:rPr/>
        <w:t>2. **Test Basic Activation**: Add known agonists (e.g., neurotensin for NT1) and measure reporter output: β-galactosidase via ONPG assay for lacZ (Nomoto et al. 1990) or growth on histidine-deficient media for HIS3 (Pausch 1997). No response indicates failure.</w:t>
      </w:r>
    </w:p>
    <w:p>
      <w:pPr>
        <w:pStyle w:val="Normal"/>
        <w:bidi w:val="0"/>
        <w:jc w:val="start"/>
        <w:rPr/>
      </w:pPr>
      <w:r>
        <w:rPr/>
        <w:t>3. **Assess Interactions**: Perform co-immunoprecipitation: Tag GPCR and Gα, lyse cells, pull down one, and blot for the other to confirm binding.</w:t>
      </w:r>
    </w:p>
    <w:p>
      <w:pPr>
        <w:pStyle w:val="Normal"/>
        <w:bidi w:val="0"/>
        <w:jc w:val="start"/>
        <w:rPr/>
      </w:pPr>
      <w:r>
        <w:rPr/>
        <w:t>4. **Evaluate Specificity**: Compare coupling across Gα variants (e.g., Gpa1/Gαi2 vs. Gpa1/Gαi3) using dose-response curves to identify restrictions (Baranski et al. 1999).</w:t>
      </w:r>
    </w:p>
    <w:p>
      <w:pPr>
        <w:pStyle w:val="Normal"/>
        <w:bidi w:val="0"/>
        <w:jc w:val="start"/>
        <w:rPr/>
      </w:pPr>
      <w:r>
        <w:rPr/>
        <w:t>5. **Check Lipid Influences**: Compare pharmacology (e.g., EC50 values) to mammalian data; shifts suggest lipid effects (Lagane et al. 2000).</w:t>
      </w:r>
    </w:p>
    <w:p>
      <w:pPr>
        <w:pStyle w:val="Normal"/>
        <w:bidi w:val="0"/>
        <w:jc w:val="start"/>
        <w:rPr/>
      </w:pPr>
      <w:r>
        <w:rPr/>
      </w:r>
    </w:p>
    <w:p>
      <w:pPr>
        <w:pStyle w:val="Normal"/>
        <w:bidi w:val="0"/>
        <w:jc w:val="start"/>
        <w:rPr/>
      </w:pPr>
      <w:r>
        <w:rPr/>
        <w:t>Document results to guide modifications.</w:t>
      </w:r>
    </w:p>
    <w:p>
      <w:pPr>
        <w:pStyle w:val="Normal"/>
        <w:bidi w:val="0"/>
        <w:jc w:val="start"/>
        <w:rPr/>
      </w:pPr>
      <w:r>
        <w:rPr/>
      </w:r>
    </w:p>
    <w:p>
      <w:pPr>
        <w:pStyle w:val="Normal"/>
        <w:bidi w:val="0"/>
        <w:jc w:val="start"/>
        <w:rPr/>
      </w:pPr>
      <w:r>
        <w:rPr/>
        <w:t>## Solutions for G Protein Modifications</w:t>
      </w:r>
    </w:p>
    <w:p>
      <w:pPr>
        <w:pStyle w:val="Normal"/>
        <w:bidi w:val="0"/>
        <w:jc w:val="start"/>
        <w:rPr/>
      </w:pPr>
      <w:r>
        <w:rPr/>
      </w:r>
    </w:p>
    <w:p>
      <w:pPr>
        <w:pStyle w:val="Normal"/>
        <w:bidi w:val="0"/>
        <w:jc w:val="start"/>
        <w:rPr/>
      </w:pPr>
      <w:r>
        <w:rPr/>
        <w:t>Address failures by engineering G proteins to enhance compatibility.</w:t>
      </w:r>
    </w:p>
    <w:p>
      <w:pPr>
        <w:pStyle w:val="Normal"/>
        <w:bidi w:val="0"/>
        <w:jc w:val="start"/>
        <w:rPr/>
      </w:pPr>
      <w:r>
        <w:rPr/>
      </w:r>
    </w:p>
    <w:p>
      <w:pPr>
        <w:pStyle w:val="Normal"/>
        <w:bidi w:val="0"/>
        <w:jc w:val="start"/>
        <w:rPr/>
      </w:pPr>
      <w:r>
        <w:rPr/>
        <w:t>### Constructing and Testing Chimeras</w:t>
      </w:r>
    </w:p>
    <w:p>
      <w:pPr>
        <w:pStyle w:val="Normal"/>
        <w:bidi w:val="0"/>
        <w:jc w:val="start"/>
        <w:rPr/>
      </w:pPr>
      <w:r>
        <w:rPr/>
        <w:t>- **Transplant (TP) Chimeras**: Replace Gpa1's C-terminal five residues with mammalian Gα sequences (e.g., Gα16 for Rcb1; Olesnicky et al. 1999). Amplify Gpa1 minus C-terminus and Gα fragment via PCR, fuse via overlap extension, clone under PGK1, and transform. Test for improved coupling.</w:t>
      </w:r>
    </w:p>
    <w:p>
      <w:pPr>
        <w:pStyle w:val="Normal"/>
        <w:bidi w:val="0"/>
        <w:jc w:val="start"/>
        <w:rPr/>
      </w:pPr>
      <w:r>
        <w:rPr/>
        <w:t>- **Kang-Type Chimeras**: Fuse at defined sites like BamHI (e.g., Gpa1 N-terminus with Gαi C-terminus; Price et al. 1995, 1996). Use PCR with overlapping primers, ligate into vectors, and verify via sequencing.</w:t>
      </w:r>
    </w:p>
    <w:p>
      <w:pPr>
        <w:pStyle w:val="Normal"/>
        <w:bidi w:val="0"/>
        <w:jc w:val="start"/>
        <w:rPr/>
      </w:pPr>
      <w:r>
        <w:rPr/>
        <w:t>- **Cadus-Type Chimeras**: Generate libraries with random crossovers (e.g., between Gpa1 and Gαi3; Manfredi et al. 1996). Use error-prone PCR or shuffling, clone, transform, and screen for activation with agonists (Klein et al. 1998).</w:t>
      </w:r>
    </w:p>
    <w:p>
      <w:pPr>
        <w:pStyle w:val="Normal"/>
        <w:bidi w:val="0"/>
        <w:jc w:val="start"/>
        <w:rPr/>
      </w:pPr>
      <w:r>
        <w:rPr/>
      </w:r>
    </w:p>
    <w:p>
      <w:pPr>
        <w:pStyle w:val="Normal"/>
        <w:bidi w:val="0"/>
        <w:jc w:val="start"/>
        <w:rPr/>
      </w:pPr>
      <w:r>
        <w:rPr/>
        <w:t>Iterate by testing multiple types; transplants often work for fungal receptors (Olesnicky et al. 2000), while Cadus variants suit complex ones (Miret et al. 2002).</w:t>
      </w:r>
    </w:p>
    <w:p>
      <w:pPr>
        <w:pStyle w:val="Normal"/>
        <w:bidi w:val="0"/>
        <w:jc w:val="start"/>
        <w:rPr/>
      </w:pPr>
      <w:r>
        <w:rPr/>
      </w:r>
    </w:p>
    <w:p>
      <w:pPr>
        <w:pStyle w:val="Normal"/>
        <w:bidi w:val="0"/>
        <w:jc w:val="start"/>
        <w:rPr/>
      </w:pPr>
      <w:r>
        <w:rPr/>
        <w:t>### Mutating Specificity Determinants</w:t>
      </w:r>
    </w:p>
    <w:p>
      <w:pPr>
        <w:pStyle w:val="Normal"/>
        <w:bidi w:val="0"/>
        <w:jc w:val="start"/>
        <w:rPr/>
      </w:pPr>
      <w:r>
        <w:rPr/>
        <w:t>For restrictions like Asp229 in Gαi3 (buried in switch domain; Lambright et al. 1996), mutate to Ala or Ser:</w:t>
      </w:r>
    </w:p>
    <w:p>
      <w:pPr>
        <w:pStyle w:val="Normal"/>
        <w:bidi w:val="0"/>
        <w:jc w:val="start"/>
        <w:rPr/>
      </w:pPr>
      <w:r>
        <w:rPr/>
      </w:r>
    </w:p>
    <w:p>
      <w:pPr>
        <w:pStyle w:val="Normal"/>
        <w:bidi w:val="0"/>
        <w:jc w:val="start"/>
        <w:rPr/>
      </w:pPr>
      <w:r>
        <w:rPr/>
        <w:t>1. **Site-Directed Mutagenesis**: Design primers changing Asp229 to Ser (e.g., in rat Gαs for CRLR; Miret et al. 2002). Perform overlap extension PCR: Amplify mutated halves, fuse, clone into chimera vector.</w:t>
      </w:r>
    </w:p>
    <w:p>
      <w:pPr>
        <w:pStyle w:val="Normal"/>
        <w:bidi w:val="0"/>
        <w:jc w:val="start"/>
        <w:rPr/>
      </w:pPr>
      <w:r>
        <w:rPr/>
        <w:t>2. **Verification**: Transform, add agonists, and measure reporter induction (e.g., lacZ activity). This broadens compatibility without altering core structure (Baranski et al. 1999).</w:t>
      </w:r>
    </w:p>
    <w:p>
      <w:pPr>
        <w:pStyle w:val="Normal"/>
        <w:bidi w:val="0"/>
        <w:jc w:val="start"/>
        <w:rPr/>
      </w:pPr>
      <w:r>
        <w:rPr/>
      </w:r>
    </w:p>
    <w:p>
      <w:pPr>
        <w:pStyle w:val="Normal"/>
        <w:bidi w:val="0"/>
        <w:jc w:val="start"/>
        <w:rPr/>
      </w:pPr>
      <w:r>
        <w:rPr/>
        <w:t>Other regions, like Gα amino-termini, may influence coupling (Swift et al. 2000); test fusions if needed (Medici et al. 1997).</w:t>
      </w:r>
    </w:p>
    <w:p>
      <w:pPr>
        <w:pStyle w:val="Normal"/>
        <w:bidi w:val="0"/>
        <w:jc w:val="start"/>
        <w:rPr/>
      </w:pPr>
      <w:r>
        <w:rPr/>
      </w:r>
    </w:p>
    <w:p>
      <w:pPr>
        <w:pStyle w:val="Normal"/>
        <w:bidi w:val="0"/>
        <w:jc w:val="start"/>
        <w:rPr/>
      </w:pPr>
      <w:r>
        <w:rPr/>
        <w:t>## Optimizing for Complex Receptors and Lipid Effects</w:t>
      </w:r>
    </w:p>
    <w:p>
      <w:pPr>
        <w:pStyle w:val="Normal"/>
        <w:bidi w:val="0"/>
        <w:jc w:val="start"/>
        <w:rPr/>
      </w:pPr>
      <w:r>
        <w:rPr/>
      </w:r>
    </w:p>
    <w:p>
      <w:pPr>
        <w:pStyle w:val="Normal"/>
        <w:bidi w:val="0"/>
        <w:jc w:val="start"/>
        <w:rPr/>
      </w:pPr>
      <w:r>
        <w:rPr/>
        <w:t>For heterodimerizing receptors (Milligan and White 2001), co-express partners: Clone CRLR under PGK1 and RAMPs under ADH1, transform dually, and verify complexes via co-immunoprecipitation (Miret et al. 2002). To mitigate lipid discrepancies, supplement media with cholesterol during culture and retest binding affinities (Lagane et al. 2000).</w:t>
      </w:r>
    </w:p>
    <w:p>
      <w:pPr>
        <w:pStyle w:val="Normal"/>
        <w:bidi w:val="0"/>
        <w:jc w:val="start"/>
        <w:rPr/>
      </w:pPr>
      <w:r>
        <w:rPr/>
      </w:r>
    </w:p>
    <w:p>
      <w:pPr>
        <w:pStyle w:val="Normal"/>
        <w:bidi w:val="0"/>
        <w:jc w:val="start"/>
        <w:rPr/>
      </w:pPr>
      <w:r>
        <w:rPr/>
        <w:t>## Practical Guidance and Strain Optimizations</w:t>
      </w:r>
    </w:p>
    <w:p>
      <w:pPr>
        <w:pStyle w:val="Normal"/>
        <w:bidi w:val="0"/>
        <w:jc w:val="start"/>
        <w:rPr/>
      </w:pPr>
      <w:r>
        <w:rPr/>
      </w:r>
    </w:p>
    <w:p>
      <w:pPr>
        <w:pStyle w:val="Normal"/>
        <w:bidi w:val="0"/>
        <w:jc w:val="start"/>
        <w:rPr/>
      </w:pPr>
      <w:r>
        <w:rPr/>
        <w:t>Culture at 30°C in selective media to maintain stability; use far1Δ strains to avoid arrest (Miret et al. 2002). For persistent failures, screen Gα libraries (Manfredi et al. 1996) or compare to native Gpa1p (Leplatois et al. 2001). Validate solutions with dose-responses, aiming for EC50 alignment with literature (e.g., for opioid receptors; Lagane et al. 2000). These strategies resolve most issues, enabling reliable coupling for diverse GPCRs in yeast assays.</w:t>
      </w:r>
    </w:p>
    <w:p>
      <w:pPr>
        <w:pStyle w:val="Normal"/>
        <w:bidi w:val="0"/>
        <w:jc w:val="start"/>
        <w:rPr/>
      </w:pPr>
      <w:r>
        <w:rPr/>
      </w:r>
    </w:p>
    <w:p>
      <w:pPr>
        <w:pStyle w:val="Normal"/>
        <w:bidi w:val="0"/>
        <w:jc w:val="start"/>
        <w:rPr/>
      </w:pPr>
      <w:r>
        <w:rPr/>
        <w:t>(Word count: 748)</w:t>
      </w:r>
    </w:p>
    <w:p>
      <w:pPr>
        <w:pStyle w:val="Normal"/>
        <w:bidi w:val="0"/>
        <w:jc w:val="start"/>
        <w:rPr/>
      </w:pPr>
      <w:r>
        <w:rPr/>
      </w:r>
    </w:p>
    <w:p>
      <w:pPr>
        <w:pStyle w:val="Normal"/>
        <w:bidi w:val="0"/>
        <w:jc w:val="start"/>
        <w:rPr/>
      </w:pPr>
      <w:r>
        <w:rPr/>
        <w:t># Section 24: Practical Guidance on Yeast Strain Selection and Maintenance</w:t>
      </w:r>
    </w:p>
    <w:p>
      <w:pPr>
        <w:pStyle w:val="Normal"/>
        <w:bidi w:val="0"/>
        <w:jc w:val="start"/>
        <w:rPr/>
      </w:pPr>
      <w:r>
        <w:rPr/>
      </w:r>
    </w:p>
    <w:p>
      <w:pPr>
        <w:pStyle w:val="Normal"/>
        <w:bidi w:val="0"/>
        <w:jc w:val="start"/>
        <w:rPr/>
      </w:pPr>
      <w:r>
        <w:rPr/>
        <w:t>## Overview of Yeast Strain Selection for GPCR Studies</w:t>
      </w:r>
    </w:p>
    <w:p>
      <w:pPr>
        <w:pStyle w:val="Normal"/>
        <w:bidi w:val="0"/>
        <w:jc w:val="start"/>
        <w:rPr/>
      </w:pPr>
      <w:r>
        <w:rPr/>
      </w:r>
    </w:p>
    <w:p>
      <w:pPr>
        <w:pStyle w:val="Normal"/>
        <w:bidi w:val="0"/>
        <w:jc w:val="start"/>
        <w:rPr/>
      </w:pPr>
      <w:r>
        <w:rPr/>
        <w:t>Selecting the appropriate yeast strain is foundational for successful heterologous expression and functional assays of G protein-coupled receptors (GPCRs) in *Saccharomyces cerevisiae*. Strains must support efficient receptor expression, G protein coupling, and pathway activation while minimizing background interference. Key considerations include genetic modifications to the native pheromone-response pathway, compatibility with expression vectors, and suitability for readouts like reporter gene induction or growth selection. For instance, strains used in studies of fungal receptors like Rcb1 from *Coprinus cinereus* (Olesnicky et al. 1999) or mammalian receptors like neurotensin NT1 (Leplatois et al. 2001) incorporate deletions to enhance signal detection. Prioritize strains with well-characterized genomes and auxotrophic markers (e.g., ura3, leu2) for plasmid selection. Avoid strains with wild-type pheromone receptors to prevent crosstalk. This guidance focuses on practical selection criteria, emphasizing genetic tractability and assay optimization for applications such as ligand screening.</w:t>
      </w:r>
    </w:p>
    <w:p>
      <w:pPr>
        <w:pStyle w:val="Normal"/>
        <w:bidi w:val="0"/>
        <w:jc w:val="start"/>
        <w:rPr/>
      </w:pPr>
      <w:r>
        <w:rPr/>
      </w:r>
    </w:p>
    <w:p>
      <w:pPr>
        <w:pStyle w:val="Normal"/>
        <w:bidi w:val="0"/>
        <w:jc w:val="start"/>
        <w:rPr/>
      </w:pPr>
      <w:r>
        <w:rPr/>
        <w:t>## Key Strain Modifications and Their Roles</w:t>
      </w:r>
    </w:p>
    <w:p>
      <w:pPr>
        <w:pStyle w:val="Normal"/>
        <w:bidi w:val="0"/>
        <w:jc w:val="start"/>
        <w:rPr/>
      </w:pPr>
      <w:r>
        <w:rPr/>
      </w:r>
    </w:p>
    <w:p>
      <w:pPr>
        <w:pStyle w:val="Normal"/>
        <w:bidi w:val="0"/>
        <w:jc w:val="start"/>
        <w:rPr/>
      </w:pPr>
      <w:r>
        <w:rPr/>
        <w:t>Modified strains optimize the pheromone-response pathway for heterologous GPCRs by reducing endogenous signaling and improving readout sensitivity. Common modifications include:</w:t>
      </w:r>
    </w:p>
    <w:p>
      <w:pPr>
        <w:pStyle w:val="Normal"/>
        <w:bidi w:val="0"/>
        <w:jc w:val="start"/>
        <w:rPr/>
      </w:pPr>
      <w:r>
        <w:rPr/>
      </w:r>
    </w:p>
    <w:p>
      <w:pPr>
        <w:pStyle w:val="Normal"/>
        <w:bidi w:val="0"/>
        <w:jc w:val="start"/>
        <w:rPr/>
      </w:pPr>
      <w:r>
        <w:rPr/>
        <w:t>- **Receptor Deletions (ste2Δ or ste3Δ)**: Eliminate native pheromone receptors Ste2 (a-factor) or Ste3 (α-factor) to prevent interference. These are essential for expressing foreign GPCRs, as seen in couplings of human CRLR with RAMPs (Miret et al. 2002) or fungal Bbr1/2 from *Schizophyllum commune* (Fowler et al. 1999).</w:t>
      </w:r>
    </w:p>
    <w:p>
      <w:pPr>
        <w:pStyle w:val="Normal"/>
        <w:bidi w:val="0"/>
        <w:jc w:val="start"/>
        <w:rPr/>
      </w:pPr>
      <w:r>
        <w:rPr/>
        <w:t xml:space="preserve">  </w:t>
      </w:r>
    </w:p>
    <w:p>
      <w:pPr>
        <w:pStyle w:val="Normal"/>
        <w:bidi w:val="0"/>
        <w:jc w:val="start"/>
        <w:rPr/>
      </w:pPr>
      <w:r>
        <w:rPr/>
        <w:t>- **Cell Cycle Arrest Prevention (far1Δ)**: Deletes Far1 to avoid G1 arrest upon pathway activation, enabling growth-based assays. This modification enhances HTS utility, as in screens using FUS1-HIS3 reporters (Pausch 1997; Klein et al. 1998).</w:t>
      </w:r>
    </w:p>
    <w:p>
      <w:pPr>
        <w:pStyle w:val="Normal"/>
        <w:bidi w:val="0"/>
        <w:jc w:val="start"/>
        <w:rPr/>
      </w:pPr>
      <w:r>
        <w:rPr/>
      </w:r>
    </w:p>
    <w:p>
      <w:pPr>
        <w:pStyle w:val="Normal"/>
        <w:bidi w:val="0"/>
        <w:jc w:val="start"/>
        <w:rPr/>
      </w:pPr>
      <w:r>
        <w:rPr/>
        <w:t>- **Reporter Integrations**: Incorporate pheromone-responsive reporters like FUS1-lacZ for β-galactosidase assays (Nomoto et al. 1990) or FUS1-HIS3 for histidine prototrophy. Strains with these allow quantifiable detection of activation via MAP kinase cascade (Ste11, Ste7, Fus3).</w:t>
      </w:r>
    </w:p>
    <w:p>
      <w:pPr>
        <w:pStyle w:val="Normal"/>
        <w:bidi w:val="0"/>
        <w:jc w:val="start"/>
        <w:rPr/>
      </w:pPr>
      <w:r>
        <w:rPr/>
      </w:r>
    </w:p>
    <w:p>
      <w:pPr>
        <w:pStyle w:val="Normal"/>
        <w:bidi w:val="0"/>
        <w:jc w:val="start"/>
        <w:rPr/>
      </w:pPr>
      <w:r>
        <w:rPr/>
        <w:t>- **Auxotrophic Markers**: Use strains with markers like ura3Δ or leu2Δ for selecting plasmids with URA3 or LEU2 genes. This ensures stable expression of GPCRs under promoters such as PGK1 or ADH1 (Leplatois et al. 2001; Miret et al. 2002).</w:t>
      </w:r>
    </w:p>
    <w:p>
      <w:pPr>
        <w:pStyle w:val="Normal"/>
        <w:bidi w:val="0"/>
        <w:jc w:val="start"/>
        <w:rPr/>
      </w:pPr>
      <w:r>
        <w:rPr/>
      </w:r>
    </w:p>
    <w:p>
      <w:pPr>
        <w:pStyle w:val="Normal"/>
        <w:bidi w:val="0"/>
        <w:jc w:val="start"/>
        <w:rPr/>
      </w:pPr>
      <w:r>
        <w:rPr/>
        <w:t>Select strains from repositories or publications (e.g., those used by King et al. 1990 or Kang et al. 1990 for early mammalian GPCR expressions). For complex reconstitutions, ensure strains support co-expression of accessory proteins like RAMPs (Miret et al. 2002).</w:t>
      </w:r>
    </w:p>
    <w:p>
      <w:pPr>
        <w:pStyle w:val="Normal"/>
        <w:bidi w:val="0"/>
        <w:jc w:val="start"/>
        <w:rPr/>
      </w:pPr>
      <w:r>
        <w:rPr/>
      </w:r>
    </w:p>
    <w:p>
      <w:pPr>
        <w:pStyle w:val="Normal"/>
        <w:bidi w:val="0"/>
        <w:jc w:val="start"/>
        <w:rPr/>
      </w:pPr>
      <w:r>
        <w:rPr/>
        <w:t>## Selecting Strains Based on GPCR Type and Assay Needs</w:t>
      </w:r>
    </w:p>
    <w:p>
      <w:pPr>
        <w:pStyle w:val="Normal"/>
        <w:bidi w:val="0"/>
        <w:jc w:val="start"/>
        <w:rPr/>
      </w:pPr>
      <w:r>
        <w:rPr/>
      </w:r>
    </w:p>
    <w:p>
      <w:pPr>
        <w:pStyle w:val="Normal"/>
        <w:bidi w:val="0"/>
        <w:jc w:val="start"/>
        <w:rPr/>
      </w:pPr>
      <w:r>
        <w:rPr/>
        <w:t>Tailor strain choice to the GPCR's origin and experimental goals:</w:t>
      </w:r>
    </w:p>
    <w:p>
      <w:pPr>
        <w:pStyle w:val="Normal"/>
        <w:bidi w:val="0"/>
        <w:jc w:val="start"/>
        <w:rPr/>
      </w:pPr>
      <w:r>
        <w:rPr/>
      </w:r>
    </w:p>
    <w:p>
      <w:pPr>
        <w:pStyle w:val="Normal"/>
        <w:bidi w:val="0"/>
        <w:jc w:val="start"/>
        <w:rPr/>
      </w:pPr>
      <w:r>
        <w:rPr/>
        <w:t>- **For Fungal GPCRs**: Opt for strains with transplant chimeras (e.g., Gpa1/Gα16 TP for Rcb1 under GPD3; Olesnicky et al. 1999). These couple readily due to evolutionary similarity to Ste2/Ste3. Use ste2Δ backgrounds with MET25-inducible promoters for controlled expression to mitigate toxicity (Hegner et al. 1999).</w:t>
      </w:r>
    </w:p>
    <w:p>
      <w:pPr>
        <w:pStyle w:val="Normal"/>
        <w:bidi w:val="0"/>
        <w:jc w:val="start"/>
        <w:rPr/>
      </w:pPr>
      <w:r>
        <w:rPr/>
      </w:r>
    </w:p>
    <w:p>
      <w:pPr>
        <w:pStyle w:val="Normal"/>
        <w:bidi w:val="0"/>
        <w:jc w:val="start"/>
        <w:rPr/>
      </w:pPr>
      <w:r>
        <w:rPr/>
        <w:t>- **For Mammalian GPCRs**: Choose strains with Cadus-type chimeras (e.g., rat Gαs D229S for CRLR; Miret et al. 2002) or native Gpa1p for simpler cases like NT1 under GRAP1 (Leplatois et al. 2001). Include far1Δ for growth readouts, especially in HTS (Pausch 1997).</w:t>
      </w:r>
    </w:p>
    <w:p>
      <w:pPr>
        <w:pStyle w:val="Normal"/>
        <w:bidi w:val="0"/>
        <w:jc w:val="start"/>
        <w:rPr/>
      </w:pPr>
      <w:r>
        <w:rPr/>
      </w:r>
    </w:p>
    <w:p>
      <w:pPr>
        <w:pStyle w:val="Normal"/>
        <w:bidi w:val="0"/>
        <w:jc w:val="start"/>
        <w:rPr/>
      </w:pPr>
      <w:r>
        <w:rPr/>
        <w:t>- **For HTS or Miniaturization**: Select robust strains with integrated reporters and far1Δ for scalability in 96- or 384-well formats (Brown et al. 2000; Berg et al. 2000). Ensure compatibility with liquid or solid phase assays for ligand identification (Pausch 1997; Klein et al. 1998).</w:t>
      </w:r>
    </w:p>
    <w:p>
      <w:pPr>
        <w:pStyle w:val="Normal"/>
        <w:bidi w:val="0"/>
        <w:jc w:val="start"/>
        <w:rPr/>
      </w:pPr>
      <w:r>
        <w:rPr/>
      </w:r>
    </w:p>
    <w:p>
      <w:pPr>
        <w:pStyle w:val="Normal"/>
        <w:bidi w:val="0"/>
        <w:jc w:val="start"/>
        <w:rPr/>
      </w:pPr>
      <w:r>
        <w:rPr/>
        <w:t>- **For Pharmacology Studies**: Use strains minimizing lipid effects, verifying against mammalian data (Lagane et al. 2000). Strains with multiple deletions reduce variability in dose-response curves.</w:t>
      </w:r>
    </w:p>
    <w:p>
      <w:pPr>
        <w:pStyle w:val="Normal"/>
        <w:bidi w:val="0"/>
        <w:jc w:val="start"/>
        <w:rPr/>
      </w:pPr>
      <w:r>
        <w:rPr/>
      </w:r>
    </w:p>
    <w:p>
      <w:pPr>
        <w:pStyle w:val="Normal"/>
        <w:bidi w:val="0"/>
        <w:jc w:val="start"/>
        <w:rPr/>
      </w:pPr>
      <w:r>
        <w:rPr/>
        <w:t>Test 2-3 strains initially via transformation and agonist-induced assays to confirm optimal coupling.</w:t>
      </w:r>
    </w:p>
    <w:p>
      <w:pPr>
        <w:pStyle w:val="Normal"/>
        <w:bidi w:val="0"/>
        <w:jc w:val="start"/>
        <w:rPr/>
      </w:pPr>
      <w:r>
        <w:rPr/>
      </w:r>
    </w:p>
    <w:p>
      <w:pPr>
        <w:pStyle w:val="Normal"/>
        <w:bidi w:val="0"/>
        <w:jc w:val="start"/>
        <w:rPr/>
      </w:pPr>
      <w:r>
        <w:rPr/>
        <w:t>## Procedures for Strain Maintenance</w:t>
      </w:r>
    </w:p>
    <w:p>
      <w:pPr>
        <w:pStyle w:val="Normal"/>
        <w:bidi w:val="0"/>
        <w:jc w:val="start"/>
        <w:rPr/>
      </w:pPr>
      <w:r>
        <w:rPr/>
      </w:r>
    </w:p>
    <w:p>
      <w:pPr>
        <w:pStyle w:val="Normal"/>
        <w:bidi w:val="0"/>
        <w:jc w:val="start"/>
        <w:rPr/>
      </w:pPr>
      <w:r>
        <w:rPr/>
        <w:t>Proper maintenance preserves strain viability, genetic integrity, and performance. Follow these step-by-step protocols:</w:t>
      </w:r>
    </w:p>
    <w:p>
      <w:pPr>
        <w:pStyle w:val="Normal"/>
        <w:bidi w:val="0"/>
        <w:jc w:val="start"/>
        <w:rPr/>
      </w:pPr>
      <w:r>
        <w:rPr/>
      </w:r>
    </w:p>
    <w:p>
      <w:pPr>
        <w:pStyle w:val="Normal"/>
        <w:bidi w:val="0"/>
        <w:jc w:val="start"/>
        <w:rPr/>
      </w:pPr>
      <w:r>
        <w:rPr/>
        <w:t>1. **Routine Culturing**: Inoculate strains from glycerol stocks into 5 mL YEPD (rich) or synthetic dropout media (e.g., SD-URA for URA3 selection) at 30°C with shaking (200 rpm). Grow to log phase (OD600 0.5-1.0, ~16-24 hours). Refresh cultures every 2-3 days to avoid overgrowth.</w:t>
      </w:r>
    </w:p>
    <w:p>
      <w:pPr>
        <w:pStyle w:val="Normal"/>
        <w:bidi w:val="0"/>
        <w:jc w:val="start"/>
        <w:rPr/>
      </w:pPr>
      <w:r>
        <w:rPr/>
      </w:r>
    </w:p>
    <w:p>
      <w:pPr>
        <w:pStyle w:val="Normal"/>
        <w:bidi w:val="0"/>
        <w:jc w:val="start"/>
        <w:rPr/>
      </w:pPr>
      <w:r>
        <w:rPr/>
        <w:t>2. **Long-Term Storage**: Prepare glycerol stocks for cryopreservation. Grow to log phase, mix 1 mL culture with 1 mL 50% glycerol (sterile), aliquot into cryovials, and store at -80°C. This method, used in studies like those by Olesnicky et al. (2000), ensures revival without mutations.</w:t>
      </w:r>
    </w:p>
    <w:p>
      <w:pPr>
        <w:pStyle w:val="Normal"/>
        <w:bidi w:val="0"/>
        <w:jc w:val="start"/>
        <w:rPr/>
      </w:pPr>
      <w:r>
        <w:rPr/>
      </w:r>
    </w:p>
    <w:p>
      <w:pPr>
        <w:pStyle w:val="Normal"/>
        <w:bidi w:val="0"/>
        <w:jc w:val="start"/>
        <w:rPr/>
      </w:pPr>
      <w:r>
        <w:rPr/>
        <w:t>3. **Revival from Stocks**: Thaw vials on ice, streak onto selective agar plates (e.g., SD-LEU), and incubate at 30°C for 2-3 days. Pick single colonies to start liquid cultures, confirming genotype via PCR for deletions (e.g., ste2Δ).</w:t>
      </w:r>
    </w:p>
    <w:p>
      <w:pPr>
        <w:pStyle w:val="Normal"/>
        <w:bidi w:val="0"/>
        <w:jc w:val="start"/>
        <w:rPr/>
      </w:pPr>
      <w:r>
        <w:rPr/>
      </w:r>
    </w:p>
    <w:p>
      <w:pPr>
        <w:pStyle w:val="Normal"/>
        <w:bidi w:val="0"/>
        <w:jc w:val="start"/>
        <w:rPr/>
      </w:pPr>
      <w:r>
        <w:rPr/>
        <w:t>4. **Plasmid Maintenance**: For plasmid-bearing strains, always use selective media to prevent loss. Verify retention by replica plating on selective vs. non-selective agar.</w:t>
      </w:r>
    </w:p>
    <w:p>
      <w:pPr>
        <w:pStyle w:val="Normal"/>
        <w:bidi w:val="0"/>
        <w:jc w:val="start"/>
        <w:rPr/>
      </w:pPr>
      <w:r>
        <w:rPr/>
      </w:r>
    </w:p>
    <w:p>
      <w:pPr>
        <w:pStyle w:val="Normal"/>
        <w:bidi w:val="0"/>
        <w:jc w:val="start"/>
        <w:rPr/>
      </w:pPr>
      <w:r>
        <w:rPr/>
        <w:t>5. **Strain Verification**: Periodically check phenotypes: Test pheromone response in wild-type controls (e.g., halo assays; Miyajima et al. 1987) and confirm deletions by absence of response. Sequence key genes (e.g., Gpa1 chimeras) to detect drift.</w:t>
      </w:r>
    </w:p>
    <w:p>
      <w:pPr>
        <w:pStyle w:val="Normal"/>
        <w:bidi w:val="0"/>
        <w:jc w:val="start"/>
        <w:rPr/>
      </w:pPr>
      <w:r>
        <w:rPr/>
      </w:r>
    </w:p>
    <w:p>
      <w:pPr>
        <w:pStyle w:val="Normal"/>
        <w:bidi w:val="0"/>
        <w:jc w:val="start"/>
        <w:rPr/>
      </w:pPr>
      <w:r>
        <w:rPr/>
        <w:t>Perform maintenance weekly for active strains, archiving duplicates to mitigate contamination risks.</w:t>
      </w:r>
    </w:p>
    <w:p>
      <w:pPr>
        <w:pStyle w:val="Normal"/>
        <w:bidi w:val="0"/>
        <w:jc w:val="start"/>
        <w:rPr/>
      </w:pPr>
      <w:r>
        <w:rPr/>
      </w:r>
    </w:p>
    <w:p>
      <w:pPr>
        <w:pStyle w:val="Normal"/>
        <w:bidi w:val="0"/>
        <w:jc w:val="start"/>
        <w:rPr/>
      </w:pPr>
      <w:r>
        <w:rPr/>
        <w:t>## Troubleshooting Strain-Related Issues</w:t>
      </w:r>
    </w:p>
    <w:p>
      <w:pPr>
        <w:pStyle w:val="Normal"/>
        <w:bidi w:val="0"/>
        <w:jc w:val="start"/>
        <w:rPr/>
      </w:pPr>
      <w:r>
        <w:rPr/>
      </w:r>
    </w:p>
    <w:p>
      <w:pPr>
        <w:pStyle w:val="Normal"/>
        <w:bidi w:val="0"/>
        <w:jc w:val="start"/>
        <w:rPr/>
      </w:pPr>
      <w:r>
        <w:rPr/>
        <w:t>- **Poor Growth or Viability**: If cultures fail to reach OD600 &gt;1.0, check media freshness and temperature (30°C optimal). Supplement with lipids if pharmacology is affected (Lagane et al. 2000).</w:t>
      </w:r>
    </w:p>
    <w:p>
      <w:pPr>
        <w:pStyle w:val="Normal"/>
        <w:bidi w:val="0"/>
        <w:jc w:val="start"/>
        <w:rPr/>
      </w:pPr>
      <w:r>
        <w:rPr/>
      </w:r>
    </w:p>
    <w:p>
      <w:pPr>
        <w:pStyle w:val="Normal"/>
        <w:bidi w:val="0"/>
        <w:jc w:val="start"/>
        <w:rPr/>
      </w:pPr>
      <w:r>
        <w:rPr/>
        <w:t>- **Genetic Instability**: Plasmid loss? Integrate constructs genomically via homologous recombination. Mutations? Sequence and revert to original stocks.</w:t>
      </w:r>
    </w:p>
    <w:p>
      <w:pPr>
        <w:pStyle w:val="Normal"/>
        <w:bidi w:val="0"/>
        <w:jc w:val="start"/>
        <w:rPr/>
      </w:pPr>
      <w:r>
        <w:rPr/>
      </w:r>
    </w:p>
    <w:p>
      <w:pPr>
        <w:pStyle w:val="Normal"/>
        <w:bidi w:val="0"/>
        <w:jc w:val="start"/>
        <w:rPr/>
      </w:pPr>
      <w:r>
        <w:rPr/>
        <w:t>- **Background Signaling**: In ste2Δ-deficient strains, residual activity? Double-check deletions via PCR and use far1Δ to suppress (Miret et al. 2002).</w:t>
      </w:r>
    </w:p>
    <w:p>
      <w:pPr>
        <w:pStyle w:val="Normal"/>
        <w:bidi w:val="0"/>
        <w:jc w:val="start"/>
        <w:rPr/>
      </w:pPr>
      <w:r>
        <w:rPr/>
      </w:r>
    </w:p>
    <w:p>
      <w:pPr>
        <w:pStyle w:val="Normal"/>
        <w:bidi w:val="0"/>
        <w:jc w:val="start"/>
        <w:rPr/>
      </w:pPr>
      <w:r>
        <w:rPr/>
        <w:t>- **Inconsistent Coupling**: Test alternative strains with different chimeras (e.g., Gpa1/Gαi2 TP vs. Cadus-type; Manfredi et al. 1996). For restrictions, mutate residues like D229S (Baranski et al. 1999).</w:t>
      </w:r>
    </w:p>
    <w:p>
      <w:pPr>
        <w:pStyle w:val="Normal"/>
        <w:bidi w:val="0"/>
        <w:jc w:val="start"/>
        <w:rPr/>
      </w:pPr>
      <w:r>
        <w:rPr/>
      </w:r>
    </w:p>
    <w:p>
      <w:pPr>
        <w:pStyle w:val="Normal"/>
        <w:bidi w:val="0"/>
        <w:jc w:val="start"/>
        <w:rPr/>
      </w:pPr>
      <w:r>
        <w:rPr/>
        <w:t>## Practical Tips for Optimal Strain Handling</w:t>
      </w:r>
    </w:p>
    <w:p>
      <w:pPr>
        <w:pStyle w:val="Normal"/>
        <w:bidi w:val="0"/>
        <w:jc w:val="start"/>
        <w:rPr/>
      </w:pPr>
      <w:r>
        <w:rPr/>
      </w:r>
    </w:p>
    <w:p>
      <w:pPr>
        <w:pStyle w:val="Normal"/>
        <w:bidi w:val="0"/>
        <w:jc w:val="start"/>
        <w:rPr/>
      </w:pPr>
      <w:r>
        <w:rPr/>
        <w:t>Work in a laminar flow hood to avoid contamination. Use fresh transformations for experiments, as repeated subculturing can lead to variability. For HTS, scale up cultures in flasks to prepare large cell batches (Brown et al. 2000). Label stocks meticulously with strain details, modifications, and date. When adapting for new GPCRs, start with strains from successful references (e.g., King et al. 1990 for β2-adrenergic). Regularly calibrate equipment like shakers and incubators for consistent 30°C</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50</Pages>
  <Words>20710</Words>
  <Characters>127335</Characters>
  <CharactersWithSpaces>147577</CharactersWithSpaces>
  <Paragraphs>744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2026-02-07T21:56:46Z</dcterms:created>
  <dc:creator/>
  <dc:description/>
  <dc:language>en-US</dc:language>
  <cp:lastModifiedBy/>
  <dcterms:modified xsi:type="dcterms:W3CDTF">2026-02-07T22:04:21Z</dcterms:modified>
  <cp:revision>1</cp:revision>
  <dc:subject/>
  <dc:title/>
</cp:coreProperties>
</file>