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50825" w14:textId="19760489" w:rsidR="00265E31" w:rsidRPr="004D3DA9" w:rsidRDefault="004D3DA9" w:rsidP="00907DF6">
      <w:pPr>
        <w:pStyle w:val="Heading1"/>
        <w:rPr>
          <w:b w:val="0"/>
          <w:lang w:val="ro-RO"/>
        </w:rPr>
      </w:pPr>
      <w:proofErr w:type="spellStart"/>
      <w:r w:rsidRPr="00B66017">
        <w:t>Discriminarea</w:t>
      </w:r>
      <w:proofErr w:type="spellEnd"/>
      <w:r w:rsidR="00496C2E" w:rsidRPr="004D3DA9">
        <w:rPr>
          <w:b w:val="0"/>
          <w:lang w:val="ro-RO"/>
        </w:rPr>
        <w:t xml:space="preserve"> </w:t>
      </w:r>
      <w:proofErr w:type="spellStart"/>
      <w:r w:rsidR="00496C2E" w:rsidRPr="00B66017">
        <w:t>în</w:t>
      </w:r>
      <w:proofErr w:type="spellEnd"/>
      <w:r w:rsidR="00496C2E" w:rsidRPr="00B66017">
        <w:t xml:space="preserve"> </w:t>
      </w:r>
      <w:proofErr w:type="spellStart"/>
      <w:r w:rsidR="00496C2E" w:rsidRPr="00B66017">
        <w:t>spațiul</w:t>
      </w:r>
      <w:proofErr w:type="spellEnd"/>
      <w:r w:rsidR="00496C2E" w:rsidRPr="00B66017">
        <w:t xml:space="preserve"> </w:t>
      </w:r>
      <w:proofErr w:type="spellStart"/>
      <w:r w:rsidR="00496C2E" w:rsidRPr="00B66017">
        <w:t>academic</w:t>
      </w:r>
      <w:proofErr w:type="spellEnd"/>
    </w:p>
    <w:p w14:paraId="7D07AA5F" w14:textId="53BCEDB9" w:rsidR="005C0792" w:rsidRDefault="005C0792" w:rsidP="005C0792">
      <w:pPr>
        <w:rPr>
          <w:rFonts w:cs="Times New Roman"/>
          <w:szCs w:val="24"/>
          <w:lang w:val="ro-RO"/>
        </w:rPr>
      </w:pPr>
      <w:r>
        <w:rPr>
          <w:lang w:val="ro-RO"/>
        </w:rPr>
        <w:t>Egalitatea de șanse este un</w:t>
      </w:r>
      <w:r w:rsidR="000B0EAC" w:rsidRPr="000B0EAC">
        <w:rPr>
          <w:lang w:val="ro-RO"/>
        </w:rPr>
        <w:t xml:space="preserve"> </w:t>
      </w:r>
      <w:r>
        <w:rPr>
          <w:lang w:val="ro-RO"/>
        </w:rPr>
        <w:t>principiu</w:t>
      </w:r>
      <w:r w:rsidR="000B0EAC" w:rsidRPr="000B0EAC">
        <w:rPr>
          <w:lang w:val="ro-RO"/>
        </w:rPr>
        <w:t xml:space="preserve"> </w:t>
      </w:r>
      <w:r>
        <w:rPr>
          <w:lang w:val="ro-RO"/>
        </w:rPr>
        <w:t>fundamental al</w:t>
      </w:r>
      <w:r w:rsidR="000B0EAC" w:rsidRPr="000B0EAC">
        <w:rPr>
          <w:lang w:val="ro-RO"/>
        </w:rPr>
        <w:t xml:space="preserve"> societ</w:t>
      </w:r>
      <w:r>
        <w:rPr>
          <w:lang w:val="ro-RO"/>
        </w:rPr>
        <w:t>ăților democratice contemporane, sub considerentul punerii în practică a drepturilor omului.</w:t>
      </w:r>
      <w:r w:rsidRPr="005C0792">
        <w:rPr>
          <w:rFonts w:cs="Times New Roman"/>
          <w:szCs w:val="24"/>
          <w:lang w:val="ro-RO"/>
        </w:rPr>
        <w:t xml:space="preserve"> </w:t>
      </w:r>
      <w:r w:rsidRPr="005C0792">
        <w:rPr>
          <w:rFonts w:cs="Times New Roman"/>
          <w:i/>
          <w:szCs w:val="24"/>
          <w:lang w:val="ro-RO"/>
        </w:rPr>
        <w:t>Largo sensu</w:t>
      </w:r>
      <w:r w:rsidRPr="000B0EAC">
        <w:rPr>
          <w:rFonts w:cs="Times New Roman"/>
          <w:szCs w:val="24"/>
          <w:lang w:val="ro-RO"/>
        </w:rPr>
        <w:t xml:space="preserve">, egalitatea de șanse </w:t>
      </w:r>
      <w:r>
        <w:rPr>
          <w:rFonts w:cs="Times New Roman"/>
          <w:szCs w:val="24"/>
          <w:lang w:val="ro-RO"/>
        </w:rPr>
        <w:t>înseamnă</w:t>
      </w:r>
      <w:r w:rsidRPr="000B0EAC">
        <w:rPr>
          <w:rFonts w:cs="Times New Roman"/>
          <w:szCs w:val="24"/>
          <w:lang w:val="ro-RO"/>
        </w:rPr>
        <w:t xml:space="preserve"> garantarea acelorași</w:t>
      </w:r>
      <w:r>
        <w:rPr>
          <w:rFonts w:cs="Times New Roman"/>
          <w:szCs w:val="24"/>
          <w:lang w:val="ro-RO"/>
        </w:rPr>
        <w:t xml:space="preserve"> </w:t>
      </w:r>
      <w:r w:rsidRPr="000B0EAC">
        <w:rPr>
          <w:rFonts w:cs="Times New Roman"/>
          <w:szCs w:val="24"/>
          <w:lang w:val="ro-RO"/>
        </w:rPr>
        <w:t>condiții de succes pentru orice persoană, indiferent de</w:t>
      </w:r>
      <w:r>
        <w:rPr>
          <w:rFonts w:cs="Times New Roman"/>
          <w:szCs w:val="24"/>
          <w:lang w:val="ro-RO"/>
        </w:rPr>
        <w:t xml:space="preserve"> caracteristici particulare</w:t>
      </w:r>
      <w:r w:rsidR="00EF3264">
        <w:rPr>
          <w:rFonts w:cs="Times New Roman"/>
          <w:szCs w:val="24"/>
          <w:lang w:val="ro-RO"/>
        </w:rPr>
        <w:t xml:space="preserve"> identitare</w:t>
      </w:r>
      <w:r>
        <w:rPr>
          <w:rFonts w:cs="Times New Roman"/>
          <w:szCs w:val="24"/>
          <w:lang w:val="ro-RO"/>
        </w:rPr>
        <w:t>, fie ele</w:t>
      </w:r>
      <w:r w:rsidRPr="000B0EAC">
        <w:rPr>
          <w:rFonts w:cs="Times New Roman"/>
          <w:szCs w:val="24"/>
          <w:lang w:val="ro-RO"/>
        </w:rPr>
        <w:t xml:space="preserve"> sociale</w:t>
      </w:r>
      <w:r>
        <w:rPr>
          <w:rFonts w:cs="Times New Roman"/>
          <w:szCs w:val="24"/>
          <w:lang w:val="ro-RO"/>
        </w:rPr>
        <w:t>, etnice</w:t>
      </w:r>
      <w:r w:rsidRPr="000B0EAC">
        <w:rPr>
          <w:rFonts w:cs="Times New Roman"/>
          <w:szCs w:val="24"/>
          <w:lang w:val="ro-RO"/>
        </w:rPr>
        <w:t xml:space="preserve"> sau</w:t>
      </w:r>
      <w:r>
        <w:rPr>
          <w:rFonts w:cs="Times New Roman"/>
          <w:szCs w:val="24"/>
          <w:lang w:val="ro-RO"/>
        </w:rPr>
        <w:t xml:space="preserve"> de </w:t>
      </w:r>
      <w:r w:rsidRPr="000B0EAC">
        <w:rPr>
          <w:rFonts w:cs="Times New Roman"/>
          <w:szCs w:val="24"/>
          <w:lang w:val="ro-RO"/>
        </w:rPr>
        <w:t>grup.</w:t>
      </w:r>
      <w:r w:rsidR="00B66017">
        <w:rPr>
          <w:rFonts w:cs="Times New Roman"/>
          <w:szCs w:val="24"/>
          <w:lang w:val="ro-RO"/>
        </w:rPr>
        <w:t xml:space="preserve"> Discriminarea apare atunci când există o</w:t>
      </w:r>
      <w:r w:rsidR="00B66017" w:rsidRPr="00B66017">
        <w:rPr>
          <w:rFonts w:cs="Times New Roman"/>
          <w:szCs w:val="24"/>
          <w:lang w:val="ro-RO"/>
        </w:rPr>
        <w:t xml:space="preserve"> abatere sau</w:t>
      </w:r>
      <w:r w:rsidR="00EF3264">
        <w:rPr>
          <w:rFonts w:cs="Times New Roman"/>
          <w:szCs w:val="24"/>
          <w:lang w:val="ro-RO"/>
        </w:rPr>
        <w:t xml:space="preserve"> chiar și numai o</w:t>
      </w:r>
      <w:r w:rsidR="00B66017" w:rsidRPr="00B66017">
        <w:rPr>
          <w:rFonts w:cs="Times New Roman"/>
          <w:szCs w:val="24"/>
          <w:lang w:val="ro-RO"/>
        </w:rPr>
        <w:t xml:space="preserve"> intenție d</w:t>
      </w:r>
      <w:r w:rsidR="00B66017">
        <w:rPr>
          <w:rFonts w:cs="Times New Roman"/>
          <w:szCs w:val="24"/>
          <w:lang w:val="ro-RO"/>
        </w:rPr>
        <w:t>e abatere de la acest principiu.</w:t>
      </w:r>
      <w:r w:rsidR="00856A38">
        <w:rPr>
          <w:rStyle w:val="FootnoteReference"/>
          <w:rFonts w:cs="Times New Roman"/>
          <w:szCs w:val="24"/>
          <w:lang w:val="ro-RO"/>
        </w:rPr>
        <w:footnoteReference w:id="1"/>
      </w:r>
    </w:p>
    <w:p w14:paraId="7B9C6817" w14:textId="732D0B85" w:rsidR="005C0792" w:rsidRDefault="00B66017" w:rsidP="005C0792">
      <w:pPr>
        <w:rPr>
          <w:rFonts w:cs="Times New Roman"/>
          <w:szCs w:val="24"/>
          <w:lang w:val="ro-RO"/>
        </w:rPr>
      </w:pPr>
      <w:r>
        <w:rPr>
          <w:rFonts w:cs="Times New Roman"/>
          <w:szCs w:val="24"/>
          <w:lang w:val="ro-RO"/>
        </w:rPr>
        <w:t xml:space="preserve">Voi arunca o privire </w:t>
      </w:r>
      <w:r w:rsidR="00947B71">
        <w:rPr>
          <w:rFonts w:cs="Times New Roman"/>
          <w:szCs w:val="24"/>
          <w:lang w:val="ro-RO"/>
        </w:rPr>
        <w:t xml:space="preserve">sumară </w:t>
      </w:r>
      <w:r>
        <w:rPr>
          <w:rFonts w:cs="Times New Roman"/>
          <w:szCs w:val="24"/>
          <w:lang w:val="ro-RO"/>
        </w:rPr>
        <w:t>asupra modului cum acest principiu</w:t>
      </w:r>
      <w:r w:rsidR="005C0792">
        <w:rPr>
          <w:rFonts w:cs="Times New Roman"/>
          <w:szCs w:val="24"/>
          <w:lang w:val="ro-RO"/>
        </w:rPr>
        <w:t xml:space="preserve"> impactează </w:t>
      </w:r>
      <w:r>
        <w:rPr>
          <w:rFonts w:cs="Times New Roman"/>
          <w:szCs w:val="24"/>
          <w:lang w:val="ro-RO"/>
        </w:rPr>
        <w:t>asupra mediului academic din România și</w:t>
      </w:r>
      <w:r w:rsidR="005C0792">
        <w:rPr>
          <w:rFonts w:cs="Times New Roman"/>
          <w:szCs w:val="24"/>
          <w:lang w:val="ro-RO"/>
        </w:rPr>
        <w:t xml:space="preserve"> cum este </w:t>
      </w:r>
      <w:r>
        <w:rPr>
          <w:rFonts w:cs="Times New Roman"/>
          <w:szCs w:val="24"/>
          <w:lang w:val="ro-RO"/>
        </w:rPr>
        <w:t xml:space="preserve">acesta </w:t>
      </w:r>
      <w:r w:rsidR="005C0792">
        <w:rPr>
          <w:rFonts w:cs="Times New Roman"/>
          <w:szCs w:val="24"/>
          <w:lang w:val="ro-RO"/>
        </w:rPr>
        <w:t>pus în practică în</w:t>
      </w:r>
      <w:r w:rsidR="00EF3264">
        <w:rPr>
          <w:rFonts w:cs="Times New Roman"/>
          <w:szCs w:val="24"/>
          <w:lang w:val="ro-RO"/>
        </w:rPr>
        <w:t xml:space="preserve"> unele cazuri particular</w:t>
      </w:r>
      <w:r w:rsidR="00947B71">
        <w:rPr>
          <w:rFonts w:cs="Times New Roman"/>
          <w:szCs w:val="24"/>
          <w:lang w:val="ro-RO"/>
        </w:rPr>
        <w:t>e</w:t>
      </w:r>
      <w:r w:rsidR="00EF3264">
        <w:rPr>
          <w:rFonts w:cs="Times New Roman"/>
          <w:szCs w:val="24"/>
          <w:lang w:val="ro-RO"/>
        </w:rPr>
        <w:t xml:space="preserve">, susținând că, în ciuda unor eforturi de combatere a discriminării, </w:t>
      </w:r>
      <w:r w:rsidR="00947B71">
        <w:rPr>
          <w:rFonts w:cs="Times New Roman"/>
          <w:szCs w:val="24"/>
          <w:lang w:val="ro-RO"/>
        </w:rPr>
        <w:t>rezultatele nu sunt totdeauna cele scontate. În principal, voi încerca să argumentez că, atunci când punem în aplicare măsuri pentru asigurarea egalității de șanse, trebuie luat în considerare mai atent modul cum vor influența acestea performanța și meritocrația academică.</w:t>
      </w:r>
    </w:p>
    <w:p w14:paraId="1C946446" w14:textId="513D9C40" w:rsidR="00AD5BED" w:rsidRDefault="00D05FE5" w:rsidP="00D05FE5">
      <w:pPr>
        <w:rPr>
          <w:rFonts w:cs="Times New Roman"/>
          <w:szCs w:val="24"/>
          <w:lang w:val="ro-RO"/>
        </w:rPr>
      </w:pPr>
      <w:r>
        <w:rPr>
          <w:rFonts w:cs="Times New Roman"/>
          <w:szCs w:val="24"/>
          <w:lang w:val="ro-RO"/>
        </w:rPr>
        <w:t>Pentru a înțelege modul cum este abordată egalitatea de șanse și, respectiv, antinomia acesteia, discriminarea,</w:t>
      </w:r>
      <w:r w:rsidRPr="00D05FE5">
        <w:rPr>
          <w:rFonts w:cs="Times New Roman"/>
          <w:szCs w:val="24"/>
          <w:lang w:val="ro-RO"/>
        </w:rPr>
        <w:t xml:space="preserve"> trebuie să </w:t>
      </w:r>
      <w:r>
        <w:rPr>
          <w:rFonts w:cs="Times New Roman"/>
          <w:szCs w:val="24"/>
          <w:lang w:val="ro-RO"/>
        </w:rPr>
        <w:t>recapitulăm puțin unele idei filosofice</w:t>
      </w:r>
      <w:r w:rsidRPr="00D05FE5">
        <w:rPr>
          <w:rFonts w:cs="Times New Roman"/>
          <w:szCs w:val="24"/>
          <w:lang w:val="ro-RO"/>
        </w:rPr>
        <w:t xml:space="preserve"> </w:t>
      </w:r>
      <w:r>
        <w:rPr>
          <w:rFonts w:cs="Times New Roman"/>
          <w:szCs w:val="24"/>
          <w:lang w:val="ro-RO"/>
        </w:rPr>
        <w:t xml:space="preserve">promovate de </w:t>
      </w:r>
      <w:r w:rsidRPr="00D05FE5">
        <w:rPr>
          <w:rFonts w:cs="Times New Roman"/>
          <w:szCs w:val="24"/>
          <w:lang w:val="ro-RO"/>
        </w:rPr>
        <w:t xml:space="preserve"> John Rawls</w:t>
      </w:r>
      <w:r>
        <w:rPr>
          <w:rFonts w:cs="Times New Roman"/>
          <w:szCs w:val="24"/>
          <w:lang w:val="ro-RO"/>
        </w:rPr>
        <w:t>, care</w:t>
      </w:r>
      <w:r w:rsidRPr="00D05FE5">
        <w:rPr>
          <w:rFonts w:cs="Times New Roman"/>
          <w:szCs w:val="24"/>
          <w:lang w:val="ro-RO"/>
        </w:rPr>
        <w:t xml:space="preserve"> a</w:t>
      </w:r>
      <w:r>
        <w:rPr>
          <w:rFonts w:cs="Times New Roman"/>
          <w:szCs w:val="24"/>
          <w:lang w:val="ro-RO"/>
        </w:rPr>
        <w:t>u</w:t>
      </w:r>
      <w:r w:rsidRPr="00D05FE5">
        <w:rPr>
          <w:rFonts w:cs="Times New Roman"/>
          <w:szCs w:val="24"/>
          <w:lang w:val="ro-RO"/>
        </w:rPr>
        <w:t xml:space="preserve"> </w:t>
      </w:r>
      <w:r w:rsidR="00AD5BED">
        <w:rPr>
          <w:rFonts w:cs="Times New Roman"/>
          <w:szCs w:val="24"/>
          <w:lang w:val="ro-RO"/>
        </w:rPr>
        <w:t>determinat</w:t>
      </w:r>
      <w:r w:rsidRPr="00D05FE5">
        <w:rPr>
          <w:rFonts w:cs="Times New Roman"/>
          <w:szCs w:val="24"/>
          <w:lang w:val="ro-RO"/>
        </w:rPr>
        <w:t xml:space="preserve"> </w:t>
      </w:r>
      <w:r w:rsidR="00AD5BED">
        <w:rPr>
          <w:rFonts w:cs="Times New Roman"/>
          <w:szCs w:val="24"/>
          <w:lang w:val="ro-RO"/>
        </w:rPr>
        <w:t>multe politici publice, inclusiv în mediul academic, de la sfârșit</w:t>
      </w:r>
      <w:r>
        <w:rPr>
          <w:rFonts w:cs="Times New Roman"/>
          <w:szCs w:val="24"/>
          <w:lang w:val="ro-RO"/>
        </w:rPr>
        <w:t>ul secolu</w:t>
      </w:r>
      <w:r w:rsidR="00482995">
        <w:rPr>
          <w:rFonts w:cs="Times New Roman"/>
          <w:szCs w:val="24"/>
          <w:lang w:val="ro-RO"/>
        </w:rPr>
        <w:t>l</w:t>
      </w:r>
      <w:r>
        <w:rPr>
          <w:rFonts w:cs="Times New Roman"/>
          <w:szCs w:val="24"/>
          <w:lang w:val="ro-RO"/>
        </w:rPr>
        <w:t>ui al XX-lea până azi.</w:t>
      </w:r>
      <w:r w:rsidR="00AD5BED">
        <w:rPr>
          <w:rFonts w:cs="Times New Roman"/>
          <w:szCs w:val="24"/>
          <w:lang w:val="ro-RO"/>
        </w:rPr>
        <w:t xml:space="preserve"> România a început să se ralieze tot mai intens la aceste politici, uneori doar copiind modele, fără multă atenție la detaliile particulare ale societății noastre.</w:t>
      </w:r>
    </w:p>
    <w:p w14:paraId="0001158C" w14:textId="1F7DC129" w:rsidR="00BF744C" w:rsidRDefault="00AD5BED" w:rsidP="00D05FE5">
      <w:pPr>
        <w:rPr>
          <w:rFonts w:cs="Times New Roman"/>
          <w:szCs w:val="24"/>
          <w:lang w:val="ro-RO"/>
        </w:rPr>
      </w:pPr>
      <w:r>
        <w:rPr>
          <w:rFonts w:cs="Times New Roman"/>
          <w:szCs w:val="24"/>
          <w:lang w:val="ro-RO"/>
        </w:rPr>
        <w:t>În “A theory of justice”,</w:t>
      </w:r>
      <w:r w:rsidR="00E50376">
        <w:rPr>
          <w:rStyle w:val="FootnoteReference"/>
          <w:rFonts w:cs="Times New Roman"/>
          <w:szCs w:val="24"/>
          <w:lang w:val="ro-RO"/>
        </w:rPr>
        <w:footnoteReference w:id="2"/>
      </w:r>
      <w:r>
        <w:rPr>
          <w:rFonts w:cs="Times New Roman"/>
          <w:szCs w:val="24"/>
          <w:lang w:val="ro-RO"/>
        </w:rPr>
        <w:t xml:space="preserve"> </w:t>
      </w:r>
      <w:r w:rsidRPr="00D05FE5">
        <w:rPr>
          <w:rFonts w:cs="Times New Roman"/>
          <w:szCs w:val="24"/>
          <w:lang w:val="ro-RO"/>
        </w:rPr>
        <w:t>Rawls</w:t>
      </w:r>
      <w:r>
        <w:rPr>
          <w:rFonts w:cs="Times New Roman"/>
          <w:szCs w:val="24"/>
          <w:lang w:val="ro-RO"/>
        </w:rPr>
        <w:t xml:space="preserve"> discută </w:t>
      </w:r>
      <w:r w:rsidRPr="00AD5BED">
        <w:rPr>
          <w:rFonts w:cs="Times New Roman"/>
          <w:szCs w:val="24"/>
          <w:lang w:val="ro-RO"/>
        </w:rPr>
        <w:t>principiile dreptății sociale</w:t>
      </w:r>
      <w:r>
        <w:rPr>
          <w:rFonts w:cs="Times New Roman"/>
          <w:szCs w:val="24"/>
          <w:lang w:val="ro-RO"/>
        </w:rPr>
        <w:t xml:space="preserve">, iar rezolvările sale </w:t>
      </w:r>
      <w:r w:rsidRPr="00AD5BED">
        <w:rPr>
          <w:rFonts w:cs="Times New Roman"/>
          <w:szCs w:val="24"/>
          <w:lang w:val="ro-RO"/>
        </w:rPr>
        <w:t xml:space="preserve">prefigurează </w:t>
      </w:r>
      <w:r>
        <w:rPr>
          <w:rFonts w:cs="Times New Roman"/>
          <w:szCs w:val="24"/>
          <w:lang w:val="ro-RO"/>
        </w:rPr>
        <w:t>ideile de</w:t>
      </w:r>
      <w:r w:rsidRPr="00AD5BED">
        <w:rPr>
          <w:rFonts w:cs="Times New Roman"/>
          <w:szCs w:val="24"/>
          <w:lang w:val="ro-RO"/>
        </w:rPr>
        <w:t xml:space="preserve"> </w:t>
      </w:r>
      <w:r>
        <w:rPr>
          <w:rFonts w:cs="Times New Roman"/>
          <w:szCs w:val="24"/>
          <w:lang w:val="ro-RO"/>
        </w:rPr>
        <w:t>bunăstare echitabilă</w:t>
      </w:r>
      <w:r w:rsidRPr="00AD5BED">
        <w:rPr>
          <w:rFonts w:cs="Times New Roman"/>
          <w:szCs w:val="24"/>
          <w:lang w:val="ro-RO"/>
        </w:rPr>
        <w:t xml:space="preserve"> </w:t>
      </w:r>
      <w:r>
        <w:rPr>
          <w:rFonts w:cs="Times New Roman"/>
          <w:szCs w:val="24"/>
          <w:lang w:val="ro-RO"/>
        </w:rPr>
        <w:t>a</w:t>
      </w:r>
      <w:r w:rsidRPr="00AD5BED">
        <w:rPr>
          <w:rFonts w:cs="Times New Roman"/>
          <w:szCs w:val="24"/>
          <w:lang w:val="ro-RO"/>
        </w:rPr>
        <w:t xml:space="preserve"> politicilor neoliberale cu</w:t>
      </w:r>
      <w:r w:rsidR="00E50376">
        <w:rPr>
          <w:rFonts w:cs="Times New Roman"/>
          <w:szCs w:val="24"/>
          <w:lang w:val="ro-RO"/>
        </w:rPr>
        <w:t xml:space="preserve"> privire la </w:t>
      </w:r>
      <w:r w:rsidR="00C861BD" w:rsidRPr="00581A02">
        <w:rPr>
          <w:rFonts w:cs="Times New Roman"/>
          <w:szCs w:val="24"/>
          <w:lang w:val="ro-RO"/>
        </w:rPr>
        <w:t>“</w:t>
      </w:r>
      <w:r w:rsidR="00E50376">
        <w:rPr>
          <w:rFonts w:cs="Times New Roman"/>
          <w:szCs w:val="24"/>
          <w:lang w:val="ro-RO"/>
        </w:rPr>
        <w:t>statul asistențial</w:t>
      </w:r>
      <w:r w:rsidR="00C861BD" w:rsidRPr="00581A02">
        <w:rPr>
          <w:rFonts w:cs="Times New Roman"/>
          <w:szCs w:val="24"/>
          <w:lang w:val="ro-RO"/>
        </w:rPr>
        <w:t>”</w:t>
      </w:r>
      <w:r w:rsidR="00E50376">
        <w:rPr>
          <w:rStyle w:val="FootnoteReference"/>
          <w:rFonts w:cs="Times New Roman"/>
          <w:szCs w:val="24"/>
          <w:lang w:val="ro-RO"/>
        </w:rPr>
        <w:footnoteReference w:id="3"/>
      </w:r>
      <w:r w:rsidRPr="00AD5BED">
        <w:rPr>
          <w:rFonts w:cs="Times New Roman"/>
          <w:szCs w:val="24"/>
          <w:lang w:val="ro-RO"/>
        </w:rPr>
        <w:t xml:space="preserve">. </w:t>
      </w:r>
      <w:r w:rsidR="00EB1C23">
        <w:rPr>
          <w:rFonts w:cs="Times New Roman"/>
          <w:szCs w:val="24"/>
          <w:lang w:val="ro-RO"/>
        </w:rPr>
        <w:t xml:space="preserve">Astfel, </w:t>
      </w:r>
      <w:r w:rsidR="00EB1C23" w:rsidRPr="00EB1C23">
        <w:rPr>
          <w:rFonts w:cs="Times New Roman"/>
          <w:szCs w:val="24"/>
          <w:lang w:val="ro-RO"/>
        </w:rPr>
        <w:t xml:space="preserve">egalitatea de oportunitate </w:t>
      </w:r>
      <w:r w:rsidR="00EB1C23">
        <w:rPr>
          <w:rFonts w:cs="Times New Roman"/>
          <w:szCs w:val="24"/>
          <w:lang w:val="ro-RO"/>
        </w:rPr>
        <w:t>se împlinește atunci când</w:t>
      </w:r>
      <w:r w:rsidR="00EB1C23" w:rsidRPr="00EB1C23">
        <w:rPr>
          <w:rFonts w:cs="Times New Roman"/>
          <w:szCs w:val="24"/>
          <w:lang w:val="ro-RO"/>
        </w:rPr>
        <w:t xml:space="preserve"> oportunitățile pentru poziții </w:t>
      </w:r>
      <w:r w:rsidR="00EB1C23">
        <w:rPr>
          <w:rFonts w:cs="Times New Roman"/>
          <w:szCs w:val="24"/>
          <w:lang w:val="ro-RO"/>
        </w:rPr>
        <w:t>î</w:t>
      </w:r>
      <w:r w:rsidR="00EB1C23" w:rsidRPr="00EB1C23">
        <w:rPr>
          <w:rFonts w:cs="Times New Roman"/>
          <w:szCs w:val="24"/>
          <w:lang w:val="ro-RO"/>
        </w:rPr>
        <w:t xml:space="preserve">n societate </w:t>
      </w:r>
      <w:r w:rsidR="00EB1C23">
        <w:rPr>
          <w:rFonts w:cs="Times New Roman"/>
          <w:szCs w:val="24"/>
          <w:lang w:val="ro-RO"/>
        </w:rPr>
        <w:t>sunt</w:t>
      </w:r>
      <w:r w:rsidR="00EB1C23" w:rsidRPr="00EB1C23">
        <w:rPr>
          <w:rFonts w:cs="Times New Roman"/>
          <w:szCs w:val="24"/>
          <w:lang w:val="ro-RO"/>
        </w:rPr>
        <w:t xml:space="preserve"> deschise astfel încât toți indivizii pot concura pentru ele</w:t>
      </w:r>
      <w:r w:rsidR="00EB1C23">
        <w:rPr>
          <w:rFonts w:cs="Times New Roman"/>
          <w:szCs w:val="24"/>
          <w:lang w:val="ro-RO"/>
        </w:rPr>
        <w:t xml:space="preserve"> și primesc</w:t>
      </w:r>
      <w:r w:rsidR="00EB1C23" w:rsidRPr="00EB1C23">
        <w:rPr>
          <w:rFonts w:cs="Times New Roman"/>
          <w:szCs w:val="24"/>
          <w:lang w:val="ro-RO"/>
        </w:rPr>
        <w:t xml:space="preserve"> recompense pe baza talentelor și realizărilor, </w:t>
      </w:r>
      <w:r w:rsidR="00EB1C23">
        <w:rPr>
          <w:rFonts w:cs="Times New Roman"/>
          <w:szCs w:val="24"/>
          <w:lang w:val="ro-RO"/>
        </w:rPr>
        <w:t>dar</w:t>
      </w:r>
      <w:r w:rsidR="00EB1C23" w:rsidRPr="00EB1C23">
        <w:rPr>
          <w:rFonts w:cs="Times New Roman"/>
          <w:szCs w:val="24"/>
          <w:lang w:val="ro-RO"/>
        </w:rPr>
        <w:t xml:space="preserve"> nu din motive subiective</w:t>
      </w:r>
      <w:r w:rsidR="00EB1C23">
        <w:rPr>
          <w:rFonts w:cs="Times New Roman"/>
          <w:szCs w:val="24"/>
          <w:lang w:val="ro-RO"/>
        </w:rPr>
        <w:t xml:space="preserve">. </w:t>
      </w:r>
    </w:p>
    <w:p w14:paraId="602F4B49" w14:textId="202D728D" w:rsidR="00AD5BED" w:rsidRDefault="00EB1C23" w:rsidP="00D05FE5">
      <w:pPr>
        <w:rPr>
          <w:rFonts w:cs="Times New Roman"/>
          <w:szCs w:val="24"/>
          <w:lang w:val="ro-RO"/>
        </w:rPr>
      </w:pPr>
      <w:r>
        <w:rPr>
          <w:rFonts w:cs="Times New Roman"/>
          <w:szCs w:val="24"/>
          <w:lang w:val="ro-RO"/>
        </w:rPr>
        <w:lastRenderedPageBreak/>
        <w:t>I</w:t>
      </w:r>
      <w:r w:rsidRPr="00D05FE5">
        <w:rPr>
          <w:rFonts w:cs="Times New Roman"/>
          <w:szCs w:val="24"/>
          <w:lang w:val="ro-RO"/>
        </w:rPr>
        <w:t xml:space="preserve">negalitatea distribuirii bunurilor în societate </w:t>
      </w:r>
      <w:r>
        <w:rPr>
          <w:rFonts w:cs="Times New Roman"/>
          <w:szCs w:val="24"/>
          <w:lang w:val="ro-RO"/>
        </w:rPr>
        <w:t>trebuie compensată cu alte măsuri pentru a ajunge la egalitate de oportunitate.</w:t>
      </w:r>
      <w:r w:rsidRPr="00D05FE5">
        <w:rPr>
          <w:rFonts w:cs="Times New Roman"/>
          <w:szCs w:val="24"/>
          <w:lang w:val="ro-RO"/>
        </w:rPr>
        <w:t xml:space="preserve"> </w:t>
      </w:r>
      <w:r>
        <w:rPr>
          <w:rFonts w:cs="Times New Roman"/>
          <w:szCs w:val="24"/>
          <w:lang w:val="ro-RO"/>
        </w:rPr>
        <w:t>Î</w:t>
      </w:r>
      <w:r w:rsidRPr="00D05FE5">
        <w:rPr>
          <w:rFonts w:cs="Times New Roman"/>
          <w:szCs w:val="24"/>
          <w:lang w:val="ro-RO"/>
        </w:rPr>
        <w:t xml:space="preserve">n </w:t>
      </w:r>
      <w:r>
        <w:rPr>
          <w:rFonts w:cs="Times New Roman"/>
          <w:szCs w:val="24"/>
          <w:lang w:val="ro-RO"/>
        </w:rPr>
        <w:t xml:space="preserve">consecință, </w:t>
      </w:r>
      <w:r w:rsidRPr="00D05FE5">
        <w:rPr>
          <w:rFonts w:cs="Times New Roman"/>
          <w:szCs w:val="24"/>
          <w:lang w:val="ro-RO"/>
        </w:rPr>
        <w:t>cei defavorizați</w:t>
      </w:r>
      <w:r>
        <w:rPr>
          <w:rFonts w:cs="Times New Roman"/>
          <w:szCs w:val="24"/>
          <w:lang w:val="ro-RO"/>
        </w:rPr>
        <w:t xml:space="preserve"> trebuie favorizați</w:t>
      </w:r>
      <w:r w:rsidR="00C861BD">
        <w:rPr>
          <w:rFonts w:cs="Times New Roman"/>
          <w:szCs w:val="24"/>
          <w:lang w:val="ro-RO"/>
        </w:rPr>
        <w:t xml:space="preserve"> în anumite contexte</w:t>
      </w:r>
      <w:r>
        <w:rPr>
          <w:rFonts w:cs="Times New Roman"/>
          <w:szCs w:val="24"/>
          <w:lang w:val="ro-RO"/>
        </w:rPr>
        <w:t xml:space="preserve"> pentru a putea ajunge la poziții din societate de la care sunt de cele mai multe ori excluși</w:t>
      </w:r>
      <w:r w:rsidR="00482995">
        <w:rPr>
          <w:rFonts w:cs="Times New Roman"/>
          <w:szCs w:val="24"/>
          <w:lang w:val="ro-RO"/>
        </w:rPr>
        <w:t>. Î</w:t>
      </w:r>
      <w:r w:rsidR="00482995" w:rsidRPr="00482995">
        <w:rPr>
          <w:rFonts w:cs="Times New Roman"/>
          <w:szCs w:val="24"/>
          <w:lang w:val="ro-RO"/>
        </w:rPr>
        <w:t xml:space="preserve">n viziunea lui Rawls, </w:t>
      </w:r>
      <w:r w:rsidR="00482995">
        <w:rPr>
          <w:rFonts w:cs="Times New Roman"/>
          <w:szCs w:val="24"/>
          <w:lang w:val="ro-RO"/>
        </w:rPr>
        <w:t>individul cu cea mai bună pregătire trebuie să ocupe locul cel mai potrivit cu pregătirea sa în societatea, dar aceasta se poate întâmpla doar dacă</w:t>
      </w:r>
      <w:r w:rsidR="00482995" w:rsidRPr="00482995">
        <w:rPr>
          <w:rFonts w:cs="Times New Roman"/>
          <w:szCs w:val="24"/>
          <w:lang w:val="ro-RO"/>
        </w:rPr>
        <w:t xml:space="preserve"> toți membrii societății au </w:t>
      </w:r>
      <w:r w:rsidR="00482995">
        <w:rPr>
          <w:rFonts w:cs="Times New Roman"/>
          <w:szCs w:val="24"/>
          <w:lang w:val="ro-RO"/>
        </w:rPr>
        <w:t>posibilitatea de a avea o pregătire conformă nu cu apartența și identitatea, ci cu capacitățile proprii.</w:t>
      </w:r>
    </w:p>
    <w:p w14:paraId="3F5FDADC" w14:textId="0CE4A13C" w:rsidR="00C267CB" w:rsidRDefault="00BF744C" w:rsidP="00D05FE5">
      <w:pPr>
        <w:rPr>
          <w:rFonts w:cs="Times New Roman"/>
          <w:szCs w:val="24"/>
          <w:lang w:val="ro-RO"/>
        </w:rPr>
      </w:pPr>
      <w:r>
        <w:rPr>
          <w:rFonts w:cs="Times New Roman"/>
          <w:szCs w:val="24"/>
          <w:lang w:val="ro-RO"/>
        </w:rPr>
        <w:t>Transpuse în mediul academic, aceste idei au dezvoltat necesitatea de a crea un acces facil, separat de traseul comun, indivizilor aparținând unor minorități (etnice, sexuale), atât în cazul studenților, cât</w:t>
      </w:r>
      <w:r w:rsidR="006E78C1">
        <w:rPr>
          <w:rFonts w:cs="Times New Roman"/>
          <w:szCs w:val="24"/>
          <w:lang w:val="ro-RO"/>
        </w:rPr>
        <w:t>, mai nou, mai ales în Occident,</w:t>
      </w:r>
      <w:r>
        <w:rPr>
          <w:rFonts w:cs="Times New Roman"/>
          <w:szCs w:val="24"/>
          <w:lang w:val="ro-RO"/>
        </w:rPr>
        <w:t xml:space="preserve"> și în cazul cadrelor didactice, </w:t>
      </w:r>
      <w:r w:rsidR="00483440">
        <w:rPr>
          <w:rFonts w:cs="Times New Roman"/>
          <w:szCs w:val="24"/>
          <w:lang w:val="ro-RO"/>
        </w:rPr>
        <w:t>ceea ce un</w:t>
      </w:r>
      <w:r w:rsidR="00C267CB">
        <w:rPr>
          <w:rFonts w:cs="Times New Roman"/>
          <w:szCs w:val="24"/>
          <w:lang w:val="ro-RO"/>
        </w:rPr>
        <w:t xml:space="preserve">eori dezvoltă </w:t>
      </w:r>
      <w:r>
        <w:rPr>
          <w:rFonts w:cs="Times New Roman"/>
          <w:szCs w:val="24"/>
          <w:lang w:val="ro-RO"/>
        </w:rPr>
        <w:t>un alt tip de discriminare</w:t>
      </w:r>
      <w:r w:rsidR="00C267CB">
        <w:rPr>
          <w:rFonts w:cs="Times New Roman"/>
          <w:szCs w:val="24"/>
          <w:lang w:val="ro-RO"/>
        </w:rPr>
        <w:t>, denumită discriminare</w:t>
      </w:r>
      <w:r>
        <w:rPr>
          <w:rFonts w:cs="Times New Roman"/>
          <w:szCs w:val="24"/>
          <w:lang w:val="ro-RO"/>
        </w:rPr>
        <w:t xml:space="preserve"> pozitivă</w:t>
      </w:r>
      <w:r w:rsidR="00483440">
        <w:rPr>
          <w:rFonts w:cs="Times New Roman"/>
          <w:szCs w:val="24"/>
          <w:lang w:val="ro-RO"/>
        </w:rPr>
        <w:t xml:space="preserve"> (</w:t>
      </w:r>
      <w:r w:rsidR="00483440" w:rsidRPr="000B0EAC">
        <w:rPr>
          <w:rFonts w:cs="Times New Roman"/>
          <w:szCs w:val="24"/>
          <w:lang w:val="ro-RO"/>
        </w:rPr>
        <w:t>atunci când o practică aparent neutră</w:t>
      </w:r>
      <w:r w:rsidR="00483440">
        <w:rPr>
          <w:rFonts w:cs="Times New Roman"/>
          <w:szCs w:val="24"/>
          <w:lang w:val="ro-RO"/>
        </w:rPr>
        <w:t xml:space="preserve"> </w:t>
      </w:r>
      <w:r w:rsidR="00483440" w:rsidRPr="000B0EAC">
        <w:rPr>
          <w:rFonts w:cs="Times New Roman"/>
          <w:szCs w:val="24"/>
          <w:lang w:val="ro-RO"/>
        </w:rPr>
        <w:t xml:space="preserve">dezavantajează </w:t>
      </w:r>
      <w:r w:rsidR="00483440">
        <w:rPr>
          <w:rFonts w:cs="Times New Roman"/>
          <w:szCs w:val="24"/>
          <w:lang w:val="ro-RO"/>
        </w:rPr>
        <w:t>indivizi din</w:t>
      </w:r>
      <w:r w:rsidR="00483440" w:rsidRPr="000B0EAC">
        <w:rPr>
          <w:rFonts w:cs="Times New Roman"/>
          <w:szCs w:val="24"/>
          <w:lang w:val="ro-RO"/>
        </w:rPr>
        <w:t xml:space="preserve"> grupuri </w:t>
      </w:r>
      <w:r w:rsidR="00483440">
        <w:rPr>
          <w:rFonts w:cs="Times New Roman"/>
          <w:szCs w:val="24"/>
          <w:lang w:val="ro-RO"/>
        </w:rPr>
        <w:t>pretins favorizate)</w:t>
      </w:r>
      <w:r>
        <w:rPr>
          <w:rFonts w:cs="Times New Roman"/>
          <w:szCs w:val="24"/>
          <w:lang w:val="ro-RO"/>
        </w:rPr>
        <w:t>.</w:t>
      </w:r>
      <w:r w:rsidR="006E78C1">
        <w:rPr>
          <w:rFonts w:cs="Times New Roman"/>
          <w:szCs w:val="24"/>
          <w:lang w:val="ro-RO"/>
        </w:rPr>
        <w:t xml:space="preserve"> </w:t>
      </w:r>
      <w:r w:rsidR="00C267CB">
        <w:rPr>
          <w:rFonts w:cs="Times New Roman"/>
          <w:szCs w:val="24"/>
          <w:lang w:val="ro-RO"/>
        </w:rPr>
        <w:t>Spre deosebire de discrim</w:t>
      </w:r>
      <w:r w:rsidR="006E78C1">
        <w:rPr>
          <w:rFonts w:cs="Times New Roman"/>
          <w:szCs w:val="24"/>
          <w:lang w:val="ro-RO"/>
        </w:rPr>
        <w:t>in</w:t>
      </w:r>
      <w:r w:rsidR="00C267CB">
        <w:rPr>
          <w:rFonts w:cs="Times New Roman"/>
          <w:szCs w:val="24"/>
          <w:lang w:val="ro-RO"/>
        </w:rPr>
        <w:t>area negativă (discriminarea minorităților), discriminare</w:t>
      </w:r>
      <w:r w:rsidR="006E78C1">
        <w:rPr>
          <w:rFonts w:cs="Times New Roman"/>
          <w:szCs w:val="24"/>
          <w:lang w:val="ro-RO"/>
        </w:rPr>
        <w:t>a</w:t>
      </w:r>
      <w:r w:rsidR="00C267CB">
        <w:rPr>
          <w:rFonts w:cs="Times New Roman"/>
          <w:szCs w:val="24"/>
          <w:lang w:val="ro-RO"/>
        </w:rPr>
        <w:t xml:space="preserve"> pozitivă (discriminarea majorității) se justifică printr-un </w:t>
      </w:r>
      <w:r w:rsidR="00483440" w:rsidRPr="00581A02">
        <w:rPr>
          <w:rFonts w:cs="Times New Roman"/>
          <w:szCs w:val="24"/>
        </w:rPr>
        <w:t>“</w:t>
      </w:r>
      <w:r w:rsidR="00C267CB" w:rsidRPr="000B0EAC">
        <w:rPr>
          <w:rFonts w:cs="Times New Roman"/>
          <w:szCs w:val="24"/>
          <w:lang w:val="ro-RO"/>
        </w:rPr>
        <w:t>obiectiv de un scop legitim</w:t>
      </w:r>
      <w:r w:rsidR="00483440" w:rsidRPr="00581A02">
        <w:rPr>
          <w:rFonts w:cs="Times New Roman"/>
          <w:szCs w:val="24"/>
        </w:rPr>
        <w:t>”</w:t>
      </w:r>
      <w:r w:rsidR="00C267CB">
        <w:rPr>
          <w:rStyle w:val="FootnoteReference"/>
          <w:rFonts w:cs="Times New Roman"/>
          <w:szCs w:val="24"/>
          <w:lang w:val="ro-RO"/>
        </w:rPr>
        <w:footnoteReference w:id="4"/>
      </w:r>
      <w:r w:rsidR="00C267CB">
        <w:rPr>
          <w:rFonts w:cs="Times New Roman"/>
          <w:szCs w:val="24"/>
          <w:lang w:val="ro-RO"/>
        </w:rPr>
        <w:t>.</w:t>
      </w:r>
    </w:p>
    <w:p w14:paraId="15C7C638" w14:textId="1499780C" w:rsidR="00DE05C7" w:rsidRPr="00907DF6" w:rsidRDefault="00DE05C7" w:rsidP="00DE05C7">
      <w:pPr>
        <w:rPr>
          <w:lang w:val="ro-RO"/>
        </w:rPr>
      </w:pPr>
      <w:r w:rsidRPr="00907DF6">
        <w:rPr>
          <w:lang w:val="ro-RO"/>
        </w:rPr>
        <w:t xml:space="preserve">Discriminarea în mediul universitar </w:t>
      </w:r>
      <w:r>
        <w:rPr>
          <w:lang w:val="ro-RO"/>
        </w:rPr>
        <w:t>rezultă</w:t>
      </w:r>
      <w:r w:rsidRPr="00907DF6">
        <w:rPr>
          <w:lang w:val="ro-RO"/>
        </w:rPr>
        <w:t xml:space="preserve"> </w:t>
      </w:r>
      <w:r>
        <w:rPr>
          <w:lang w:val="ro-RO"/>
        </w:rPr>
        <w:t>nu doar din</w:t>
      </w:r>
      <w:r w:rsidRPr="00907DF6">
        <w:rPr>
          <w:lang w:val="ro-RO"/>
        </w:rPr>
        <w:t xml:space="preserve"> inegalități</w:t>
      </w:r>
      <w:r>
        <w:rPr>
          <w:lang w:val="ro-RO"/>
        </w:rPr>
        <w:t>le</w:t>
      </w:r>
      <w:r w:rsidRPr="00907DF6">
        <w:rPr>
          <w:lang w:val="ro-RO"/>
        </w:rPr>
        <w:t xml:space="preserve"> structurale</w:t>
      </w:r>
      <w:r>
        <w:rPr>
          <w:lang w:val="ro-RO"/>
        </w:rPr>
        <w:t xml:space="preserve"> ale</w:t>
      </w:r>
      <w:r w:rsidRPr="00907DF6">
        <w:rPr>
          <w:lang w:val="ro-RO"/>
        </w:rPr>
        <w:t xml:space="preserve"> </w:t>
      </w:r>
      <w:r>
        <w:rPr>
          <w:lang w:val="ro-RO"/>
        </w:rPr>
        <w:t>societății</w:t>
      </w:r>
      <w:r w:rsidRPr="00907DF6">
        <w:rPr>
          <w:lang w:val="ro-RO"/>
        </w:rPr>
        <w:t xml:space="preserve">, care </w:t>
      </w:r>
      <w:r>
        <w:rPr>
          <w:lang w:val="ro-RO"/>
        </w:rPr>
        <w:t xml:space="preserve">blochează </w:t>
      </w:r>
      <w:r w:rsidRPr="00907DF6">
        <w:rPr>
          <w:lang w:val="ro-RO"/>
        </w:rPr>
        <w:t xml:space="preserve">accesul </w:t>
      </w:r>
      <w:r>
        <w:rPr>
          <w:lang w:val="ro-RO"/>
        </w:rPr>
        <w:t xml:space="preserve">la studii superioare </w:t>
      </w:r>
      <w:r w:rsidRPr="00907DF6">
        <w:rPr>
          <w:lang w:val="ro-RO"/>
        </w:rPr>
        <w:t xml:space="preserve">sau </w:t>
      </w:r>
      <w:r>
        <w:rPr>
          <w:lang w:val="ro-RO"/>
        </w:rPr>
        <w:t>la finalizare</w:t>
      </w:r>
      <w:r w:rsidR="00B35900">
        <w:rPr>
          <w:lang w:val="ro-RO"/>
        </w:rPr>
        <w:t>a</w:t>
      </w:r>
      <w:r>
        <w:rPr>
          <w:lang w:val="ro-RO"/>
        </w:rPr>
        <w:t xml:space="preserve"> lor</w:t>
      </w:r>
      <w:r w:rsidRPr="00907DF6">
        <w:rPr>
          <w:lang w:val="ro-RO"/>
        </w:rPr>
        <w:t xml:space="preserve"> de către</w:t>
      </w:r>
      <w:r>
        <w:rPr>
          <w:lang w:val="ro-RO"/>
        </w:rPr>
        <w:t xml:space="preserve"> </w:t>
      </w:r>
      <w:r w:rsidRPr="00907DF6">
        <w:rPr>
          <w:lang w:val="ro-RO"/>
        </w:rPr>
        <w:t xml:space="preserve">tinerii </w:t>
      </w:r>
      <w:r>
        <w:rPr>
          <w:lang w:val="ro-RO"/>
        </w:rPr>
        <w:t>din grupuri defavorizate</w:t>
      </w:r>
      <w:r w:rsidRPr="00907DF6">
        <w:rPr>
          <w:lang w:val="ro-RO"/>
        </w:rPr>
        <w:t>,</w:t>
      </w:r>
      <w:r>
        <w:rPr>
          <w:lang w:val="ro-RO"/>
        </w:rPr>
        <w:t xml:space="preserve"> ci</w:t>
      </w:r>
      <w:r w:rsidRPr="00907DF6">
        <w:rPr>
          <w:lang w:val="ro-RO"/>
        </w:rPr>
        <w:t xml:space="preserve"> și din practicile sau</w:t>
      </w:r>
      <w:r>
        <w:rPr>
          <w:lang w:val="ro-RO"/>
        </w:rPr>
        <w:t xml:space="preserve"> atitudinile unor membri ai</w:t>
      </w:r>
      <w:r w:rsidRPr="00907DF6">
        <w:rPr>
          <w:lang w:val="ro-RO"/>
        </w:rPr>
        <w:t xml:space="preserve"> comunității academice.</w:t>
      </w:r>
    </w:p>
    <w:p w14:paraId="16647911" w14:textId="626A6500" w:rsidR="006E78C1" w:rsidRDefault="00DE05C7" w:rsidP="00856A38">
      <w:pPr>
        <w:rPr>
          <w:lang w:val="ro-RO"/>
        </w:rPr>
      </w:pPr>
      <w:r>
        <w:rPr>
          <w:rFonts w:cs="Times New Roman"/>
          <w:szCs w:val="24"/>
          <w:lang w:val="ro-RO"/>
        </w:rPr>
        <w:t>Î</w:t>
      </w:r>
      <w:r w:rsidR="006E78C1">
        <w:rPr>
          <w:rFonts w:cs="Times New Roman"/>
          <w:szCs w:val="24"/>
          <w:lang w:val="ro-RO"/>
        </w:rPr>
        <w:t xml:space="preserve">n </w:t>
      </w:r>
      <w:r w:rsidR="00856A38">
        <w:rPr>
          <w:lang w:val="ro-RO"/>
        </w:rPr>
        <w:t>orice societate umană conte</w:t>
      </w:r>
      <w:r w:rsidR="006E78C1">
        <w:rPr>
          <w:lang w:val="ro-RO"/>
        </w:rPr>
        <w:t>m</w:t>
      </w:r>
      <w:r w:rsidR="00856A38">
        <w:rPr>
          <w:lang w:val="ro-RO"/>
        </w:rPr>
        <w:t xml:space="preserve">porană în care există atitudini discriminatorii, acestea se vor reflecta </w:t>
      </w:r>
      <w:r w:rsidR="006E78C1">
        <w:rPr>
          <w:lang w:val="ro-RO"/>
        </w:rPr>
        <w:t xml:space="preserve">inevitabil </w:t>
      </w:r>
      <w:r w:rsidR="00856A38">
        <w:rPr>
          <w:lang w:val="ro-RO"/>
        </w:rPr>
        <w:t xml:space="preserve">și în spațiul universitar, </w:t>
      </w:r>
      <w:r w:rsidR="006E78C1">
        <w:rPr>
          <w:lang w:val="ro-RO"/>
        </w:rPr>
        <w:t xml:space="preserve">așa cum </w:t>
      </w:r>
      <w:r w:rsidR="00856A38">
        <w:rPr>
          <w:lang w:val="ro-RO"/>
        </w:rPr>
        <w:t>susține un raport</w:t>
      </w:r>
      <w:r w:rsidR="006E78C1">
        <w:rPr>
          <w:lang w:val="ro-RO"/>
        </w:rPr>
        <w:t xml:space="preserve"> pentru România</w:t>
      </w:r>
      <w:r w:rsidR="00856A38">
        <w:rPr>
          <w:rStyle w:val="FootnoteReference"/>
          <w:rFonts w:cs="Times New Roman"/>
          <w:szCs w:val="24"/>
          <w:lang w:val="ro-RO"/>
        </w:rPr>
        <w:footnoteReference w:id="5"/>
      </w:r>
      <w:r w:rsidR="00856A38">
        <w:rPr>
          <w:lang w:val="ro-RO"/>
        </w:rPr>
        <w:t xml:space="preserve">, </w:t>
      </w:r>
      <w:r w:rsidR="006E78C1">
        <w:rPr>
          <w:lang w:val="ro-RO"/>
        </w:rPr>
        <w:t xml:space="preserve">care </w:t>
      </w:r>
      <w:r w:rsidR="00C861BD">
        <w:rPr>
          <w:lang w:val="ro-RO"/>
        </w:rPr>
        <w:t>analizează</w:t>
      </w:r>
      <w:r w:rsidR="006E78C1">
        <w:rPr>
          <w:lang w:val="ro-RO"/>
        </w:rPr>
        <w:t xml:space="preserve"> grade de</w:t>
      </w:r>
      <w:r w:rsidR="00750A72">
        <w:rPr>
          <w:lang w:val="ro-RO"/>
        </w:rPr>
        <w:t xml:space="preserve"> percepție</w:t>
      </w:r>
      <w:r w:rsidR="006E78C1">
        <w:rPr>
          <w:lang w:val="ro-RO"/>
        </w:rPr>
        <w:t xml:space="preserve"> asupra discriminării în mediul universitar.</w:t>
      </w:r>
      <w:r w:rsidR="003D2C63">
        <w:rPr>
          <w:lang w:val="ro-RO"/>
        </w:rPr>
        <w:t xml:space="preserve"> Datele prezentate ar putea părea descurajatoare; de ex., un procent de </w:t>
      </w:r>
      <w:r w:rsidR="003D2C63" w:rsidRPr="004D3DA9">
        <w:rPr>
          <w:lang w:val="ro-RO"/>
        </w:rPr>
        <w:t>20% dintre studenți</w:t>
      </w:r>
      <w:r w:rsidR="003D2C63">
        <w:rPr>
          <w:lang w:val="ro-RO"/>
        </w:rPr>
        <w:t>i români afirmă că au trecut</w:t>
      </w:r>
      <w:r w:rsidR="00750A72">
        <w:rPr>
          <w:lang w:val="ro-RO"/>
        </w:rPr>
        <w:t xml:space="preserve"> constant</w:t>
      </w:r>
      <w:r w:rsidR="003D2C63">
        <w:rPr>
          <w:lang w:val="ro-RO"/>
        </w:rPr>
        <w:t xml:space="preserve"> prin situații discriminatorii în mediul universitar</w:t>
      </w:r>
      <w:r w:rsidR="003C4013">
        <w:rPr>
          <w:lang w:val="ro-RO"/>
        </w:rPr>
        <w:t xml:space="preserve">. Însă acestea se </w:t>
      </w:r>
      <w:r w:rsidR="00750A72">
        <w:rPr>
          <w:lang w:val="ro-RO"/>
        </w:rPr>
        <w:t>pot conexa</w:t>
      </w:r>
      <w:r w:rsidR="003C4013">
        <w:rPr>
          <w:lang w:val="ro-RO"/>
        </w:rPr>
        <w:t xml:space="preserve"> cu datele altui studiu</w:t>
      </w:r>
      <w:r w:rsidR="003C4013">
        <w:rPr>
          <w:rStyle w:val="FootnoteReference"/>
          <w:lang w:val="ro-RO"/>
        </w:rPr>
        <w:footnoteReference w:id="6"/>
      </w:r>
      <w:r w:rsidR="003C4013">
        <w:rPr>
          <w:lang w:val="ro-RO"/>
        </w:rPr>
        <w:t xml:space="preserve">, adresat elevilor preuniversitari, de unde aflăm că </w:t>
      </w:r>
      <w:r w:rsidR="003C4013" w:rsidRPr="003D2C63">
        <w:rPr>
          <w:lang w:val="ro-RO"/>
        </w:rPr>
        <w:t>18% dintre tinerii din România se simt discriminați în mod constant</w:t>
      </w:r>
      <w:r w:rsidR="003C4013">
        <w:rPr>
          <w:lang w:val="ro-RO"/>
        </w:rPr>
        <w:t>, iar</w:t>
      </w:r>
      <w:r w:rsidR="003C4013" w:rsidRPr="003C4013">
        <w:rPr>
          <w:lang w:val="ro-RO"/>
        </w:rPr>
        <w:t xml:space="preserve"> </w:t>
      </w:r>
      <w:r w:rsidR="003C4013" w:rsidRPr="003D2C63">
        <w:rPr>
          <w:lang w:val="ro-RO"/>
        </w:rPr>
        <w:t>tinerii care se simt discriminați nici des, nici rar</w:t>
      </w:r>
      <w:r w:rsidR="003C4013">
        <w:rPr>
          <w:lang w:val="ro-RO"/>
        </w:rPr>
        <w:t xml:space="preserve"> constituie un procent</w:t>
      </w:r>
      <w:r w:rsidR="003C4013" w:rsidRPr="003D2C63">
        <w:rPr>
          <w:lang w:val="ro-RO"/>
        </w:rPr>
        <w:t xml:space="preserve"> de 39% din totalul tinerilor din România</w:t>
      </w:r>
      <w:r w:rsidR="00E11213">
        <w:rPr>
          <w:lang w:val="ro-RO"/>
        </w:rPr>
        <w:t>, conluzionându-se că există, la noi, o cultură</w:t>
      </w:r>
      <w:r w:rsidR="00E11213" w:rsidRPr="00E11213">
        <w:rPr>
          <w:lang w:val="ro-RO"/>
        </w:rPr>
        <w:t xml:space="preserve"> de respingere a diversității </w:t>
      </w:r>
      <w:r w:rsidR="00E11213">
        <w:rPr>
          <w:lang w:val="ro-RO"/>
        </w:rPr>
        <w:t>(în special când vorbim despre</w:t>
      </w:r>
      <w:r w:rsidR="00E11213" w:rsidRPr="00E11213">
        <w:rPr>
          <w:lang w:val="ro-RO"/>
        </w:rPr>
        <w:t xml:space="preserve"> diversitatea etnică și diversitatea sexuală</w:t>
      </w:r>
      <w:r w:rsidR="00E11213">
        <w:rPr>
          <w:lang w:val="ro-RO"/>
        </w:rPr>
        <w:t>).</w:t>
      </w:r>
    </w:p>
    <w:p w14:paraId="77E32305" w14:textId="6C73F633" w:rsidR="00656FD4" w:rsidRDefault="00656FD4" w:rsidP="00656FD4">
      <w:pPr>
        <w:rPr>
          <w:lang w:val="ro-RO"/>
        </w:rPr>
      </w:pPr>
      <w:r>
        <w:rPr>
          <w:lang w:val="ro-RO"/>
        </w:rPr>
        <w:tab/>
        <w:t xml:space="preserve">De aceea, un prim argument care validează importanța discriminării pozitive este nevoia de a conștientiza faptul că, atât în România, cât și în țările occidentale, există grupuri </w:t>
      </w:r>
      <w:r>
        <w:rPr>
          <w:lang w:val="ro-RO"/>
        </w:rPr>
        <w:lastRenderedPageBreak/>
        <w:t>defavorizate care necesită un sprijin în plus din partea Statului (dar, implicit, și din partea cetățenil</w:t>
      </w:r>
      <w:r w:rsidR="00C861BD">
        <w:rPr>
          <w:lang w:val="ro-RO"/>
        </w:rPr>
        <w:t>or), și de a acționa în scopul îndreptării acestei situații.</w:t>
      </w:r>
    </w:p>
    <w:p w14:paraId="25C4558D" w14:textId="13516238" w:rsidR="00DD4C6D" w:rsidRDefault="00656FD4" w:rsidP="00DD4C6D">
      <w:pPr>
        <w:rPr>
          <w:rFonts w:cs="Times New Roman"/>
          <w:szCs w:val="24"/>
          <w:lang w:val="ro-RO"/>
        </w:rPr>
      </w:pPr>
      <w:r>
        <w:rPr>
          <w:lang w:val="ro-RO"/>
        </w:rPr>
        <w:t>Să</w:t>
      </w:r>
      <w:r w:rsidR="003C4013">
        <w:rPr>
          <w:lang w:val="ro-RO"/>
        </w:rPr>
        <w:t xml:space="preserve"> </w:t>
      </w:r>
      <w:r w:rsidR="00DD4C6D">
        <w:rPr>
          <w:lang w:val="ro-RO"/>
        </w:rPr>
        <w:t>privi</w:t>
      </w:r>
      <w:r>
        <w:rPr>
          <w:lang w:val="ro-RO"/>
        </w:rPr>
        <w:t>m</w:t>
      </w:r>
      <w:r w:rsidR="00DD4C6D">
        <w:rPr>
          <w:lang w:val="ro-RO"/>
        </w:rPr>
        <w:t xml:space="preserve"> asupra</w:t>
      </w:r>
      <w:r w:rsidR="003C4013">
        <w:rPr>
          <w:lang w:val="ro-RO"/>
        </w:rPr>
        <w:t xml:space="preserve"> un caz particular, cel al tinerilor de etnie romă. În studiul realizat de Fundația Friedrich Ebert, se afirmă cu unul din trei </w:t>
      </w:r>
      <w:r w:rsidR="003C4013" w:rsidRPr="003D2C63">
        <w:rPr>
          <w:lang w:val="ro-RO"/>
        </w:rPr>
        <w:t>tineri de etnie romă afirmă că se simte discriminat</w:t>
      </w:r>
      <w:r w:rsidR="003C4013">
        <w:rPr>
          <w:lang w:val="ro-RO"/>
        </w:rPr>
        <w:t>.</w:t>
      </w:r>
      <w:r w:rsidR="00E11213">
        <w:rPr>
          <w:lang w:val="ro-RO"/>
        </w:rPr>
        <w:t xml:space="preserve"> </w:t>
      </w:r>
      <w:r w:rsidR="003D2C63" w:rsidRPr="003D2C63">
        <w:rPr>
          <w:lang w:val="ro-RO"/>
        </w:rPr>
        <w:t xml:space="preserve">Conform unui sondaj </w:t>
      </w:r>
      <w:r w:rsidR="00E11213">
        <w:rPr>
          <w:lang w:val="ro-RO"/>
        </w:rPr>
        <w:t>finanțat de Fundația Soros</w:t>
      </w:r>
      <w:r w:rsidR="00E11213">
        <w:rPr>
          <w:rStyle w:val="FootnoteReference"/>
          <w:lang w:val="ro-RO"/>
        </w:rPr>
        <w:footnoteReference w:id="7"/>
      </w:r>
      <w:r w:rsidR="003D2C63" w:rsidRPr="003D2C63">
        <w:rPr>
          <w:lang w:val="ro-RO"/>
        </w:rPr>
        <w:t>, elevii</w:t>
      </w:r>
      <w:r w:rsidR="00E11213">
        <w:rPr>
          <w:lang w:val="ro-RO"/>
        </w:rPr>
        <w:t xml:space="preserve"> majoritari</w:t>
      </w:r>
      <w:r w:rsidR="003D2C63" w:rsidRPr="003D2C63">
        <w:rPr>
          <w:lang w:val="ro-RO"/>
        </w:rPr>
        <w:t xml:space="preserve"> manifestă intoleranță în</w:t>
      </w:r>
      <w:r w:rsidR="00E11213" w:rsidRPr="00E11213">
        <w:rPr>
          <w:lang w:val="ro-RO"/>
        </w:rPr>
        <w:t xml:space="preserve"> </w:t>
      </w:r>
      <w:r w:rsidR="00E11213" w:rsidRPr="003D2C63">
        <w:rPr>
          <w:lang w:val="ro-RO"/>
        </w:rPr>
        <w:t>față de romi (68%)</w:t>
      </w:r>
      <w:r w:rsidR="00E11213">
        <w:rPr>
          <w:lang w:val="ro-RO"/>
        </w:rPr>
        <w:t>.</w:t>
      </w:r>
      <w:r w:rsidR="008D568A">
        <w:rPr>
          <w:rFonts w:cs="Times New Roman"/>
          <w:szCs w:val="24"/>
          <w:lang w:val="ro-RO"/>
        </w:rPr>
        <w:t xml:space="preserve"> </w:t>
      </w:r>
      <w:r w:rsidR="00DD4C6D">
        <w:rPr>
          <w:rFonts w:cs="Times New Roman"/>
          <w:szCs w:val="24"/>
          <w:lang w:val="ro-RO"/>
        </w:rPr>
        <w:t>C</w:t>
      </w:r>
      <w:r w:rsidR="00DD4C6D" w:rsidRPr="00DD4C6D">
        <w:rPr>
          <w:rFonts w:cs="Times New Roman"/>
          <w:szCs w:val="24"/>
          <w:lang w:val="ro-RO"/>
        </w:rPr>
        <w:t>ele mai</w:t>
      </w:r>
      <w:r w:rsidR="00DD4C6D">
        <w:rPr>
          <w:rFonts w:cs="Times New Roman"/>
          <w:szCs w:val="24"/>
          <w:lang w:val="ro-RO"/>
        </w:rPr>
        <w:t xml:space="preserve"> </w:t>
      </w:r>
      <w:r w:rsidR="00DD4C6D" w:rsidRPr="00DD4C6D">
        <w:rPr>
          <w:rFonts w:cs="Times New Roman"/>
          <w:szCs w:val="24"/>
          <w:lang w:val="ro-RO"/>
        </w:rPr>
        <w:t xml:space="preserve">frecvente cazuri identificate de </w:t>
      </w:r>
      <w:r w:rsidR="00DD4C6D">
        <w:rPr>
          <w:rFonts w:cs="Times New Roman"/>
          <w:szCs w:val="24"/>
          <w:lang w:val="ro-RO"/>
        </w:rPr>
        <w:t>elevi</w:t>
      </w:r>
      <w:r w:rsidR="00DD4C6D" w:rsidRPr="00DD4C6D">
        <w:rPr>
          <w:rFonts w:cs="Times New Roman"/>
          <w:szCs w:val="24"/>
          <w:lang w:val="ro-RO"/>
        </w:rPr>
        <w:t xml:space="preserve"> în care un</w:t>
      </w:r>
      <w:r w:rsidR="00DD4C6D">
        <w:rPr>
          <w:rFonts w:cs="Times New Roman"/>
          <w:szCs w:val="24"/>
          <w:lang w:val="ro-RO"/>
        </w:rPr>
        <w:t xml:space="preserve"> </w:t>
      </w:r>
      <w:r w:rsidR="00DD4C6D" w:rsidRPr="00DD4C6D">
        <w:rPr>
          <w:rFonts w:cs="Times New Roman"/>
          <w:szCs w:val="24"/>
          <w:lang w:val="ro-RO"/>
        </w:rPr>
        <w:t>cadru didactic a tratat negativ sau a jignit un</w:t>
      </w:r>
      <w:r w:rsidR="00DD4C6D">
        <w:rPr>
          <w:rFonts w:cs="Times New Roman"/>
          <w:szCs w:val="24"/>
          <w:lang w:val="ro-RO"/>
        </w:rPr>
        <w:t xml:space="preserve"> </w:t>
      </w:r>
      <w:r w:rsidR="00DD4C6D" w:rsidRPr="00DD4C6D">
        <w:rPr>
          <w:rFonts w:cs="Times New Roman"/>
          <w:szCs w:val="24"/>
          <w:lang w:val="ro-RO"/>
        </w:rPr>
        <w:t>student pentru că face parte dintr-o anumită</w:t>
      </w:r>
      <w:r w:rsidR="00DD4C6D">
        <w:rPr>
          <w:rFonts w:cs="Times New Roman"/>
          <w:szCs w:val="24"/>
          <w:lang w:val="ro-RO"/>
        </w:rPr>
        <w:t xml:space="preserve"> </w:t>
      </w:r>
      <w:r w:rsidR="00DD4C6D" w:rsidRPr="00DD4C6D">
        <w:rPr>
          <w:rFonts w:cs="Times New Roman"/>
          <w:szCs w:val="24"/>
          <w:lang w:val="ro-RO"/>
        </w:rPr>
        <w:t xml:space="preserve">categorie socială, </w:t>
      </w:r>
      <w:r w:rsidR="00DD4C6D">
        <w:rPr>
          <w:rFonts w:cs="Times New Roman"/>
          <w:szCs w:val="24"/>
          <w:lang w:val="ro-RO"/>
        </w:rPr>
        <w:t>se referă la ce</w:t>
      </w:r>
      <w:r w:rsidR="00DD4C6D" w:rsidRPr="00DD4C6D">
        <w:rPr>
          <w:rFonts w:cs="Times New Roman"/>
          <w:szCs w:val="24"/>
          <w:lang w:val="ro-RO"/>
        </w:rPr>
        <w:t>i de</w:t>
      </w:r>
      <w:r w:rsidR="00DD4C6D">
        <w:rPr>
          <w:rFonts w:cs="Times New Roman"/>
          <w:szCs w:val="24"/>
          <w:lang w:val="ro-RO"/>
        </w:rPr>
        <w:t xml:space="preserve"> etnie romă (8,64%).</w:t>
      </w:r>
    </w:p>
    <w:p w14:paraId="2A3BCE87" w14:textId="2366B797" w:rsidR="00E83E49" w:rsidRDefault="00E11213" w:rsidP="008D568A">
      <w:pPr>
        <w:rPr>
          <w:rFonts w:cs="Times New Roman"/>
          <w:szCs w:val="24"/>
          <w:lang w:val="ro-RO"/>
        </w:rPr>
      </w:pPr>
      <w:r>
        <w:rPr>
          <w:rFonts w:cs="Times New Roman"/>
          <w:szCs w:val="24"/>
          <w:lang w:val="ro-RO"/>
        </w:rPr>
        <w:t>Este ușor de observat că în mediul universitar românesc</w:t>
      </w:r>
      <w:r w:rsidR="008D568A" w:rsidRPr="008D568A">
        <w:rPr>
          <w:rFonts w:cs="Times New Roman"/>
          <w:szCs w:val="24"/>
          <w:lang w:val="ro-RO"/>
        </w:rPr>
        <w:t xml:space="preserve"> </w:t>
      </w:r>
      <w:r w:rsidR="008D568A" w:rsidRPr="003D2C63">
        <w:rPr>
          <w:rFonts w:cs="Times New Roman"/>
          <w:szCs w:val="24"/>
          <w:lang w:val="ro-RO"/>
        </w:rPr>
        <w:t>studenţii romi sunt o raritate</w:t>
      </w:r>
      <w:r w:rsidR="008D568A">
        <w:rPr>
          <w:rFonts w:cs="Times New Roman"/>
          <w:szCs w:val="24"/>
          <w:lang w:val="ro-RO"/>
        </w:rPr>
        <w:t>. Singurele date în temă derivă de la recensământul</w:t>
      </w:r>
      <w:r w:rsidR="008D568A" w:rsidRPr="008D568A">
        <w:rPr>
          <w:rFonts w:cs="Times New Roman"/>
          <w:szCs w:val="24"/>
          <w:lang w:val="ro-RO"/>
        </w:rPr>
        <w:t xml:space="preserve"> din 2011, </w:t>
      </w:r>
      <w:r w:rsidR="00C861BD">
        <w:rPr>
          <w:rFonts w:cs="Times New Roman"/>
          <w:szCs w:val="24"/>
          <w:lang w:val="ro-RO"/>
        </w:rPr>
        <w:t>de unde</w:t>
      </w:r>
      <w:r w:rsidR="008D568A">
        <w:rPr>
          <w:rFonts w:cs="Times New Roman"/>
          <w:szCs w:val="24"/>
          <w:lang w:val="ro-RO"/>
        </w:rPr>
        <w:t xml:space="preserve"> se poate constata, totuși, că </w:t>
      </w:r>
      <w:r w:rsidR="008D568A" w:rsidRPr="008D568A">
        <w:rPr>
          <w:rFonts w:cs="Times New Roman"/>
          <w:szCs w:val="24"/>
          <w:lang w:val="ro-RO"/>
        </w:rPr>
        <w:t xml:space="preserve">la nivel naţional, de două ori mai mulţi romi au absolvit cursuri universitare faţă de 2002 (14% faţă de 7%). </w:t>
      </w:r>
      <w:r w:rsidR="00DD4C6D">
        <w:rPr>
          <w:rFonts w:cs="Times New Roman"/>
          <w:szCs w:val="24"/>
          <w:lang w:val="ro-RO"/>
        </w:rPr>
        <w:t>Datele statistice nu sunt exprimate</w:t>
      </w:r>
      <w:r w:rsidR="00C861BD">
        <w:rPr>
          <w:rFonts w:cs="Times New Roman"/>
          <w:szCs w:val="24"/>
          <w:lang w:val="ro-RO"/>
        </w:rPr>
        <w:t xml:space="preserve"> în cifre reale, ci în procente: 14% progress spune altceva decât o cifră reală de aprox. 100 de studenți.</w:t>
      </w:r>
      <w:r w:rsidR="00DD4C6D">
        <w:rPr>
          <w:rFonts w:cs="Times New Roman"/>
          <w:szCs w:val="24"/>
          <w:lang w:val="ro-RO"/>
        </w:rPr>
        <w:t xml:space="preserve"> </w:t>
      </w:r>
      <w:r w:rsidR="00E83E49">
        <w:rPr>
          <w:rFonts w:cs="Times New Roman"/>
          <w:szCs w:val="24"/>
          <w:lang w:val="ro-RO"/>
        </w:rPr>
        <w:t xml:space="preserve">Chiar dacă s-au făcut eforturi (prin discriminare pozitivă) de a li se oferi locuri </w:t>
      </w:r>
      <w:r w:rsidR="00E83E49" w:rsidRPr="008D568A">
        <w:rPr>
          <w:rFonts w:cs="Times New Roman"/>
          <w:szCs w:val="24"/>
          <w:lang w:val="ro-RO"/>
        </w:rPr>
        <w:t>la buget</w:t>
      </w:r>
      <w:r w:rsidR="00E83E49">
        <w:rPr>
          <w:rFonts w:cs="Times New Roman"/>
          <w:szCs w:val="24"/>
          <w:lang w:val="ro-RO"/>
        </w:rPr>
        <w:t xml:space="preserve">, </w:t>
      </w:r>
      <w:r w:rsidR="008D568A" w:rsidRPr="008D568A">
        <w:rPr>
          <w:rFonts w:cs="Times New Roman"/>
          <w:szCs w:val="24"/>
          <w:lang w:val="ro-RO"/>
        </w:rPr>
        <w:t>procentul celor care trec prin sistemul de</w:t>
      </w:r>
      <w:r w:rsidR="00E83E49">
        <w:rPr>
          <w:rFonts w:cs="Times New Roman"/>
          <w:szCs w:val="24"/>
          <w:lang w:val="ro-RO"/>
        </w:rPr>
        <w:t xml:space="preserve"> </w:t>
      </w:r>
      <w:r w:rsidR="00DD4C6D">
        <w:rPr>
          <w:rFonts w:cs="Times New Roman"/>
          <w:szCs w:val="24"/>
          <w:lang w:val="ro-RO"/>
        </w:rPr>
        <w:t xml:space="preserve">superior </w:t>
      </w:r>
      <w:r w:rsidR="00C861BD">
        <w:rPr>
          <w:rFonts w:cs="Times New Roman"/>
          <w:szCs w:val="24"/>
          <w:lang w:val="ro-RO"/>
        </w:rPr>
        <w:t xml:space="preserve">de </w:t>
      </w:r>
      <w:r w:rsidR="00E83E49">
        <w:rPr>
          <w:rFonts w:cs="Times New Roman"/>
          <w:szCs w:val="24"/>
          <w:lang w:val="ro-RO"/>
        </w:rPr>
        <w:t>învăţământ rămâne mic, iar locurile</w:t>
      </w:r>
      <w:r w:rsidR="00E83E49" w:rsidRPr="00E83E49">
        <w:rPr>
          <w:rFonts w:cs="Times New Roman"/>
          <w:szCs w:val="24"/>
          <w:lang w:val="ro-RO"/>
        </w:rPr>
        <w:t xml:space="preserve"> </w:t>
      </w:r>
      <w:r w:rsidR="00E83E49">
        <w:rPr>
          <w:rFonts w:cs="Times New Roman"/>
          <w:szCs w:val="24"/>
          <w:lang w:val="ro-RO"/>
        </w:rPr>
        <w:t>rezervate lor prin legislaţie nu se ocupă. Vinovatul găsit cel mai adesea este comunitatea romă, i</w:t>
      </w:r>
      <w:r w:rsidR="00E83E49" w:rsidRPr="008D568A">
        <w:rPr>
          <w:rFonts w:cs="Times New Roman"/>
          <w:szCs w:val="24"/>
          <w:lang w:val="ro-RO"/>
        </w:rPr>
        <w:t xml:space="preserve">nstituţiile </w:t>
      </w:r>
      <w:r w:rsidR="00E83E49">
        <w:rPr>
          <w:rFonts w:cs="Times New Roman"/>
          <w:szCs w:val="24"/>
          <w:lang w:val="ro-RO"/>
        </w:rPr>
        <w:t>ducând culpa în cârca</w:t>
      </w:r>
      <w:r w:rsidR="00E83E49" w:rsidRPr="008D568A">
        <w:rPr>
          <w:rFonts w:cs="Times New Roman"/>
          <w:szCs w:val="24"/>
          <w:lang w:val="ro-RO"/>
        </w:rPr>
        <w:t xml:space="preserve"> </w:t>
      </w:r>
      <w:r w:rsidR="00E83E49">
        <w:rPr>
          <w:rFonts w:cs="Times New Roman"/>
          <w:szCs w:val="24"/>
          <w:lang w:val="ro-RO"/>
        </w:rPr>
        <w:t>acestor</w:t>
      </w:r>
      <w:r w:rsidR="00E83E49" w:rsidRPr="008D568A">
        <w:rPr>
          <w:rFonts w:cs="Times New Roman"/>
          <w:szCs w:val="24"/>
          <w:lang w:val="ro-RO"/>
        </w:rPr>
        <w:t xml:space="preserve"> </w:t>
      </w:r>
      <w:r w:rsidR="00E83E49">
        <w:rPr>
          <w:rFonts w:cs="Times New Roman"/>
          <w:szCs w:val="24"/>
          <w:lang w:val="ro-RO"/>
        </w:rPr>
        <w:t>tineri</w:t>
      </w:r>
      <w:r w:rsidR="00E83E49" w:rsidRPr="008D568A">
        <w:rPr>
          <w:rFonts w:cs="Times New Roman"/>
          <w:szCs w:val="24"/>
          <w:lang w:val="ro-RO"/>
        </w:rPr>
        <w:t xml:space="preserve"> romi</w:t>
      </w:r>
      <w:r w:rsidR="00E83E49">
        <w:rPr>
          <w:rFonts w:cs="Times New Roman"/>
          <w:szCs w:val="24"/>
          <w:lang w:val="ro-RO"/>
        </w:rPr>
        <w:t>, ca strict o chestiune de voinţă (lipsă de interes).</w:t>
      </w:r>
    </w:p>
    <w:p w14:paraId="4DDEE017" w14:textId="4637FC2D" w:rsidR="00907DF6" w:rsidRDefault="00C861BD" w:rsidP="00DD4C6D">
      <w:pPr>
        <w:rPr>
          <w:lang w:val="ro-RO"/>
        </w:rPr>
      </w:pPr>
      <w:r>
        <w:rPr>
          <w:lang w:val="ro-RO"/>
        </w:rPr>
        <w:t>Oricum,</w:t>
      </w:r>
      <w:r w:rsidR="000B0EAC" w:rsidRPr="000B0EAC">
        <w:rPr>
          <w:lang w:val="ro-RO"/>
        </w:rPr>
        <w:t xml:space="preserve"> </w:t>
      </w:r>
      <w:r w:rsidR="00E706AE">
        <w:rPr>
          <w:lang w:val="ro-RO"/>
        </w:rPr>
        <w:t xml:space="preserve">intenția de a dezvolta </w:t>
      </w:r>
      <w:r w:rsidR="000B0EAC" w:rsidRPr="000B0EAC">
        <w:rPr>
          <w:lang w:val="ro-RO"/>
        </w:rPr>
        <w:t>egalitatea de ș</w:t>
      </w:r>
      <w:r w:rsidR="00DE05C7">
        <w:rPr>
          <w:lang w:val="ro-RO"/>
        </w:rPr>
        <w:t>anse în învățământul superior ar trebui</w:t>
      </w:r>
      <w:r w:rsidR="000B0EAC" w:rsidRPr="000B0EAC">
        <w:rPr>
          <w:lang w:val="ro-RO"/>
        </w:rPr>
        <w:t xml:space="preserve"> să se </w:t>
      </w:r>
      <w:r w:rsidR="00DE05C7">
        <w:rPr>
          <w:lang w:val="ro-RO"/>
        </w:rPr>
        <w:t>vadă în toată comunitatea academică, nu numai la studenți, ci și în</w:t>
      </w:r>
      <w:r w:rsidR="000B0EAC" w:rsidRPr="000B0EAC">
        <w:rPr>
          <w:lang w:val="ro-RO"/>
        </w:rPr>
        <w:t xml:space="preserve"> </w:t>
      </w:r>
      <w:r w:rsidR="00DE05C7" w:rsidRPr="000B0EAC">
        <w:rPr>
          <w:lang w:val="ro-RO"/>
        </w:rPr>
        <w:t>management</w:t>
      </w:r>
      <w:r w:rsidR="00DE05C7">
        <w:rPr>
          <w:lang w:val="ro-RO"/>
        </w:rPr>
        <w:t>, la</w:t>
      </w:r>
      <w:r w:rsidR="00DE05C7" w:rsidRPr="000B0EAC">
        <w:rPr>
          <w:lang w:val="ro-RO"/>
        </w:rPr>
        <w:t xml:space="preserve"> </w:t>
      </w:r>
      <w:r w:rsidR="00DE05C7">
        <w:rPr>
          <w:lang w:val="ro-RO"/>
        </w:rPr>
        <w:t xml:space="preserve">profesori, la </w:t>
      </w:r>
      <w:r w:rsidR="000B0EAC" w:rsidRPr="000B0EAC">
        <w:rPr>
          <w:lang w:val="ro-RO"/>
        </w:rPr>
        <w:t>personal</w:t>
      </w:r>
      <w:r w:rsidR="00DE05C7">
        <w:rPr>
          <w:lang w:val="ro-RO"/>
        </w:rPr>
        <w:t>ul auxiliar.</w:t>
      </w:r>
      <w:r w:rsidR="000B0EAC" w:rsidRPr="000B0EAC">
        <w:rPr>
          <w:lang w:val="ro-RO"/>
        </w:rPr>
        <w:t xml:space="preserve"> </w:t>
      </w:r>
      <w:r w:rsidR="00DE05C7">
        <w:rPr>
          <w:lang w:val="ro-RO"/>
        </w:rPr>
        <w:t>T</w:t>
      </w:r>
      <w:r w:rsidR="000B0EAC" w:rsidRPr="000B0EAC">
        <w:rPr>
          <w:lang w:val="ro-RO"/>
        </w:rPr>
        <w:t xml:space="preserve">oate </w:t>
      </w:r>
      <w:r w:rsidR="00DE05C7">
        <w:rPr>
          <w:lang w:val="ro-RO"/>
        </w:rPr>
        <w:t xml:space="preserve">sarcinile </w:t>
      </w:r>
      <w:r w:rsidR="00DE05C7" w:rsidRPr="000B0EAC">
        <w:rPr>
          <w:lang w:val="ro-RO"/>
        </w:rPr>
        <w:t xml:space="preserve">administrative </w:t>
      </w:r>
      <w:r w:rsidR="00DE05C7">
        <w:rPr>
          <w:lang w:val="ro-RO"/>
        </w:rPr>
        <w:t xml:space="preserve">și </w:t>
      </w:r>
      <w:r w:rsidR="000B0EAC" w:rsidRPr="000B0EAC">
        <w:rPr>
          <w:lang w:val="ro-RO"/>
        </w:rPr>
        <w:t xml:space="preserve">procesele educaționale </w:t>
      </w:r>
      <w:r w:rsidR="00DE05C7">
        <w:rPr>
          <w:lang w:val="ro-RO"/>
        </w:rPr>
        <w:t>din mediul universitar ar trebui să fie atinse de încercarea de a oferi egalitate de oportunități, cum se întâmplă mai ales în mediul academic american.</w:t>
      </w:r>
    </w:p>
    <w:p w14:paraId="6CD22622" w14:textId="38796803" w:rsidR="00E706AE" w:rsidRDefault="00E706AE" w:rsidP="00DD4C6D">
      <w:pPr>
        <w:rPr>
          <w:lang w:val="ro-RO"/>
        </w:rPr>
      </w:pPr>
      <w:r>
        <w:rPr>
          <w:lang w:val="ro-RO"/>
        </w:rPr>
        <w:t>Există o singură condiție pentru ca un astfel de proces de schimbare să nu provoace grave daune pe termen lung: să se deficiteze performanța și meritocrația prin preferința pentru statutul de grup defavorizat. De aceea, de la un punct încolo discriminarea pozitivă trebuie să înceteze îm mediul universitar. De exemplu, un student care a intrat pe o altă ușă a universității decât ceilalți trebuie să atingă performanțe academice egale cu ceilalți, altfel se va ajunge la demoralizarea</w:t>
      </w:r>
      <w:r w:rsidR="00F8609A">
        <w:rPr>
          <w:lang w:val="ro-RO"/>
        </w:rPr>
        <w:t xml:space="preserve"> academice a majorității.</w:t>
      </w:r>
    </w:p>
    <w:p w14:paraId="31C2F5C7" w14:textId="4D10F525" w:rsidR="00F8609A" w:rsidRDefault="00F8609A" w:rsidP="00101D6C">
      <w:pPr>
        <w:rPr>
          <w:lang w:val="ro-RO"/>
        </w:rPr>
      </w:pPr>
      <w:r>
        <w:rPr>
          <w:lang w:val="ro-RO"/>
        </w:rPr>
        <w:t>Î</w:t>
      </w:r>
      <w:r w:rsidR="00014ABB" w:rsidRPr="00907DF6">
        <w:rPr>
          <w:lang w:val="ro-RO"/>
        </w:rPr>
        <w:t>n cazul tinerilor romi, nu</w:t>
      </w:r>
      <w:r w:rsidR="00014ABB">
        <w:rPr>
          <w:lang w:val="ro-RO"/>
        </w:rPr>
        <w:t xml:space="preserve"> </w:t>
      </w:r>
      <w:r w:rsidR="00014ABB" w:rsidRPr="00907DF6">
        <w:rPr>
          <w:lang w:val="ro-RO"/>
        </w:rPr>
        <w:t xml:space="preserve">este suficient ca universitățile </w:t>
      </w:r>
      <w:r>
        <w:rPr>
          <w:lang w:val="ro-RO"/>
        </w:rPr>
        <w:t xml:space="preserve">să ofere locuri bugetate și </w:t>
      </w:r>
      <w:r w:rsidR="00014ABB" w:rsidRPr="00907DF6">
        <w:rPr>
          <w:lang w:val="ro-RO"/>
        </w:rPr>
        <w:t>să asigure un</w:t>
      </w:r>
      <w:r w:rsidR="00014ABB">
        <w:rPr>
          <w:lang w:val="ro-RO"/>
        </w:rPr>
        <w:t xml:space="preserve"> </w:t>
      </w:r>
      <w:r>
        <w:rPr>
          <w:lang w:val="ro-RO"/>
        </w:rPr>
        <w:t>mediu tolerant și incluziv</w:t>
      </w:r>
      <w:r w:rsidR="00014ABB" w:rsidRPr="00907DF6">
        <w:rPr>
          <w:lang w:val="ro-RO"/>
        </w:rPr>
        <w:t>. Este nevoie de măsu</w:t>
      </w:r>
      <w:r>
        <w:rPr>
          <w:lang w:val="ro-RO"/>
        </w:rPr>
        <w:t>ri active de sprijin a acestora pentru a depăși</w:t>
      </w:r>
      <w:r w:rsidR="00014ABB" w:rsidRPr="00907DF6">
        <w:rPr>
          <w:lang w:val="ro-RO"/>
        </w:rPr>
        <w:t xml:space="preserve"> </w:t>
      </w:r>
      <w:r>
        <w:rPr>
          <w:lang w:val="ro-RO"/>
        </w:rPr>
        <w:t xml:space="preserve">alte dificultăți, inclusiv academice, </w:t>
      </w:r>
      <w:r w:rsidR="00014ABB" w:rsidRPr="00907DF6">
        <w:rPr>
          <w:lang w:val="ro-RO"/>
        </w:rPr>
        <w:t>cu care</w:t>
      </w:r>
      <w:r w:rsidR="00014ABB">
        <w:rPr>
          <w:lang w:val="ro-RO"/>
        </w:rPr>
        <w:t xml:space="preserve"> </w:t>
      </w:r>
      <w:r w:rsidR="00014ABB" w:rsidRPr="00907DF6">
        <w:rPr>
          <w:lang w:val="ro-RO"/>
        </w:rPr>
        <w:t>aceștia se</w:t>
      </w:r>
      <w:r>
        <w:rPr>
          <w:lang w:val="ro-RO"/>
        </w:rPr>
        <w:t xml:space="preserve"> pot confrunta. Și este nevoie ca</w:t>
      </w:r>
      <w:r w:rsidRPr="00F8609A">
        <w:rPr>
          <w:lang w:val="ro-RO"/>
        </w:rPr>
        <w:t xml:space="preserve"> </w:t>
      </w:r>
      <w:r>
        <w:rPr>
          <w:lang w:val="ro-RO"/>
        </w:rPr>
        <w:lastRenderedPageBreak/>
        <w:t>un traseu alternativ</w:t>
      </w:r>
      <w:r w:rsidRPr="00907DF6">
        <w:rPr>
          <w:lang w:val="ro-RO"/>
        </w:rPr>
        <w:t xml:space="preserve"> de acces</w:t>
      </w:r>
      <w:r>
        <w:rPr>
          <w:lang w:val="ro-RO"/>
        </w:rPr>
        <w:t xml:space="preserve"> și parcurs</w:t>
      </w:r>
      <w:r w:rsidRPr="00907DF6">
        <w:rPr>
          <w:lang w:val="ro-RO"/>
        </w:rPr>
        <w:t xml:space="preserve"> </w:t>
      </w:r>
      <w:r>
        <w:rPr>
          <w:lang w:val="ro-RO"/>
        </w:rPr>
        <w:t xml:space="preserve">în </w:t>
      </w:r>
      <w:r w:rsidRPr="00907DF6">
        <w:rPr>
          <w:lang w:val="ro-RO"/>
        </w:rPr>
        <w:t>învățământul superior</w:t>
      </w:r>
      <w:r>
        <w:rPr>
          <w:lang w:val="ro-RO"/>
        </w:rPr>
        <w:t xml:space="preserve"> al unui caz particular să nu impieteze asupra performanței altor studenți.</w:t>
      </w:r>
    </w:p>
    <w:p w14:paraId="1B7FC95C" w14:textId="126F19F2" w:rsidR="00CB7AC4" w:rsidRPr="00014ABB" w:rsidRDefault="00F8609A" w:rsidP="00CB7AC4">
      <w:pPr>
        <w:rPr>
          <w:lang w:val="ro-RO"/>
        </w:rPr>
      </w:pPr>
      <w:r>
        <w:rPr>
          <w:lang w:val="ro-RO"/>
        </w:rPr>
        <w:t>O problemă</w:t>
      </w:r>
      <w:r w:rsidR="00847237">
        <w:rPr>
          <w:lang w:val="ro-RO"/>
        </w:rPr>
        <w:t xml:space="preserve"> spinoasă este cea a transparen</w:t>
      </w:r>
      <w:r>
        <w:rPr>
          <w:lang w:val="ro-RO"/>
        </w:rPr>
        <w:t>ț</w:t>
      </w:r>
      <w:r w:rsidR="00847237">
        <w:rPr>
          <w:lang w:val="ro-RO"/>
        </w:rPr>
        <w:t>e</w:t>
      </w:r>
      <w:r>
        <w:rPr>
          <w:lang w:val="ro-RO"/>
        </w:rPr>
        <w:t>i universităților</w:t>
      </w:r>
      <w:r w:rsidR="00CB7AC4" w:rsidRPr="00CB7AC4">
        <w:rPr>
          <w:lang w:val="ro-RO"/>
        </w:rPr>
        <w:t xml:space="preserve"> </w:t>
      </w:r>
      <w:r>
        <w:rPr>
          <w:lang w:val="ro-RO"/>
        </w:rPr>
        <w:t>cu privire la</w:t>
      </w:r>
      <w:r w:rsidR="00CB7AC4" w:rsidRPr="00CB7AC4">
        <w:rPr>
          <w:lang w:val="ro-RO"/>
        </w:rPr>
        <w:t xml:space="preserve"> informații</w:t>
      </w:r>
      <w:r>
        <w:rPr>
          <w:lang w:val="ro-RO"/>
        </w:rPr>
        <w:t>le</w:t>
      </w:r>
      <w:r w:rsidR="00CB7AC4" w:rsidRPr="00CB7AC4">
        <w:rPr>
          <w:lang w:val="ro-RO"/>
        </w:rPr>
        <w:t xml:space="preserve"> despre repre</w:t>
      </w:r>
      <w:r w:rsidR="00847237">
        <w:rPr>
          <w:lang w:val="ro-RO"/>
        </w:rPr>
        <w:t>zentarea grupurilor vulnerabile și</w:t>
      </w:r>
      <w:r>
        <w:rPr>
          <w:lang w:val="ro-RO"/>
        </w:rPr>
        <w:t xml:space="preserve"> </w:t>
      </w:r>
      <w:r w:rsidR="00CB7AC4" w:rsidRPr="00CB7AC4">
        <w:rPr>
          <w:lang w:val="ro-RO"/>
        </w:rPr>
        <w:t xml:space="preserve">promovarea reglementărilor cu privire la combaterea discriminării. </w:t>
      </w:r>
      <w:r>
        <w:rPr>
          <w:lang w:val="ro-RO"/>
        </w:rPr>
        <w:t>Toate universitățile din România</w:t>
      </w:r>
      <w:r w:rsidR="00CB7AC4" w:rsidRPr="00CB7AC4">
        <w:rPr>
          <w:lang w:val="ro-RO"/>
        </w:rPr>
        <w:t xml:space="preserve"> au prevederi interne</w:t>
      </w:r>
      <w:r>
        <w:rPr>
          <w:lang w:val="ro-RO"/>
        </w:rPr>
        <w:t xml:space="preserve"> (</w:t>
      </w:r>
      <w:r w:rsidRPr="00CB7AC4">
        <w:rPr>
          <w:lang w:val="ro-RO"/>
        </w:rPr>
        <w:t>Coduri de Etică</w:t>
      </w:r>
      <w:r>
        <w:rPr>
          <w:lang w:val="ro-RO"/>
        </w:rPr>
        <w:t>)</w:t>
      </w:r>
      <w:r w:rsidR="00CB7AC4" w:rsidRPr="00CB7AC4">
        <w:rPr>
          <w:lang w:val="ro-RO"/>
        </w:rPr>
        <w:t xml:space="preserve"> despre egalitatea de șanse, interzicerea discriminării, promovarea toleranței, însă </w:t>
      </w:r>
      <w:r>
        <w:rPr>
          <w:lang w:val="ro-RO"/>
        </w:rPr>
        <w:t xml:space="preserve">fără </w:t>
      </w:r>
      <w:r w:rsidR="00847237">
        <w:rPr>
          <w:lang w:val="ro-RO"/>
        </w:rPr>
        <w:t>a</w:t>
      </w:r>
      <w:r>
        <w:rPr>
          <w:lang w:val="ro-RO"/>
        </w:rPr>
        <w:t xml:space="preserve"> (prea) </w:t>
      </w:r>
      <w:r w:rsidR="00847237">
        <w:rPr>
          <w:lang w:val="ro-RO"/>
        </w:rPr>
        <w:t>vorbi</w:t>
      </w:r>
      <w:r>
        <w:rPr>
          <w:lang w:val="ro-RO"/>
        </w:rPr>
        <w:t xml:space="preserve"> </w:t>
      </w:r>
      <w:r w:rsidR="00CB7AC4" w:rsidRPr="00CB7AC4">
        <w:rPr>
          <w:lang w:val="ro-RO"/>
        </w:rPr>
        <w:t xml:space="preserve">despre modul în care situațiile de discriminare pot fi sesizate și soluționate. </w:t>
      </w:r>
    </w:p>
    <w:p w14:paraId="13EF7A0D" w14:textId="134B2597" w:rsidR="00656FD4" w:rsidRPr="000B0EAC" w:rsidRDefault="0055555F" w:rsidP="00656FD4">
      <w:pPr>
        <w:rPr>
          <w:lang w:val="ro-RO"/>
        </w:rPr>
      </w:pPr>
      <w:r>
        <w:rPr>
          <w:lang w:val="ro-RO"/>
        </w:rPr>
        <w:t>P</w:t>
      </w:r>
      <w:r w:rsidR="00656FD4" w:rsidRPr="000B0EAC">
        <w:rPr>
          <w:lang w:val="ro-RO"/>
        </w:rPr>
        <w:t xml:space="preserve">roiectul </w:t>
      </w:r>
      <w:r>
        <w:rPr>
          <w:lang w:val="ro-RO"/>
        </w:rPr>
        <w:t xml:space="preserve">paneuropean </w:t>
      </w:r>
      <w:r w:rsidR="00656FD4" w:rsidRPr="000B0EAC">
        <w:rPr>
          <w:lang w:val="ro-RO"/>
        </w:rPr>
        <w:t>Peer</w:t>
      </w:r>
      <w:r w:rsidR="00656FD4">
        <w:rPr>
          <w:lang w:val="ro-RO"/>
        </w:rPr>
        <w:t xml:space="preserve"> </w:t>
      </w:r>
      <w:r w:rsidR="00656FD4" w:rsidRPr="000B0EAC">
        <w:rPr>
          <w:lang w:val="ro-RO"/>
        </w:rPr>
        <w:t>Le</w:t>
      </w:r>
      <w:r>
        <w:rPr>
          <w:lang w:val="ro-RO"/>
        </w:rPr>
        <w:t>arning for the Social Dimension</w:t>
      </w:r>
      <w:r>
        <w:rPr>
          <w:rStyle w:val="FootnoteReference"/>
          <w:lang w:val="ro-RO"/>
        </w:rPr>
        <w:footnoteReference w:id="8"/>
      </w:r>
      <w:r w:rsidR="00656FD4">
        <w:rPr>
          <w:lang w:val="ro-RO"/>
        </w:rPr>
        <w:t xml:space="preserve"> </w:t>
      </w:r>
      <w:r>
        <w:rPr>
          <w:lang w:val="ro-RO"/>
        </w:rPr>
        <w:t>a colectat</w:t>
      </w:r>
      <w:r w:rsidR="00656FD4">
        <w:rPr>
          <w:lang w:val="ro-RO"/>
        </w:rPr>
        <w:t xml:space="preserve"> </w:t>
      </w:r>
      <w:r w:rsidR="00656FD4" w:rsidRPr="000B0EAC">
        <w:rPr>
          <w:lang w:val="ro-RO"/>
        </w:rPr>
        <w:t xml:space="preserve">exemple de bune practici </w:t>
      </w:r>
      <w:r>
        <w:rPr>
          <w:lang w:val="ro-RO"/>
        </w:rPr>
        <w:t>cu privire la</w:t>
      </w:r>
      <w:r w:rsidR="00656FD4" w:rsidRPr="000B0EAC">
        <w:rPr>
          <w:lang w:val="ro-RO"/>
        </w:rPr>
        <w:t xml:space="preserve"> accesul și echitatea în</w:t>
      </w:r>
      <w:r w:rsidR="00656FD4">
        <w:rPr>
          <w:lang w:val="ro-RO"/>
        </w:rPr>
        <w:t xml:space="preserve"> </w:t>
      </w:r>
      <w:r w:rsidR="00656FD4" w:rsidRPr="000B0EAC">
        <w:rPr>
          <w:lang w:val="ro-RO"/>
        </w:rPr>
        <w:t xml:space="preserve">învățământul superior. </w:t>
      </w:r>
      <w:r>
        <w:rPr>
          <w:lang w:val="ro-RO"/>
        </w:rPr>
        <w:t>Î</w:t>
      </w:r>
      <w:r w:rsidR="00656FD4" w:rsidRPr="000B0EAC">
        <w:rPr>
          <w:lang w:val="ro-RO"/>
        </w:rPr>
        <w:t>nv</w:t>
      </w:r>
      <w:r>
        <w:rPr>
          <w:lang w:val="ro-RO"/>
        </w:rPr>
        <w:t>ățământul superior din Norvegia este mereu dat ca exemplu</w:t>
      </w:r>
      <w:r w:rsidR="00656FD4" w:rsidRPr="000B0EAC">
        <w:rPr>
          <w:lang w:val="ro-RO"/>
        </w:rPr>
        <w:t>,</w:t>
      </w:r>
      <w:r>
        <w:rPr>
          <w:lang w:val="ro-RO"/>
        </w:rPr>
        <w:t xml:space="preserve"> el fiind</w:t>
      </w:r>
      <w:r w:rsidR="00656FD4" w:rsidRPr="000B0EAC">
        <w:rPr>
          <w:lang w:val="ro-RO"/>
        </w:rPr>
        <w:t xml:space="preserve"> bazat</w:t>
      </w:r>
      <w:r w:rsidR="00656FD4">
        <w:rPr>
          <w:lang w:val="ro-RO"/>
        </w:rPr>
        <w:t xml:space="preserve"> </w:t>
      </w:r>
      <w:r w:rsidR="00656FD4" w:rsidRPr="000B0EAC">
        <w:rPr>
          <w:lang w:val="ro-RO"/>
        </w:rPr>
        <w:t xml:space="preserve">pe un </w:t>
      </w:r>
      <w:r>
        <w:rPr>
          <w:lang w:val="ro-RO"/>
        </w:rPr>
        <w:t>sistem de punctaje centralizate, dintre care p</w:t>
      </w:r>
      <w:r w:rsidR="00656FD4" w:rsidRPr="000B0EAC">
        <w:rPr>
          <w:lang w:val="ro-RO"/>
        </w:rPr>
        <w:t>ondere</w:t>
      </w:r>
      <w:r>
        <w:rPr>
          <w:lang w:val="ro-RO"/>
        </w:rPr>
        <w:t>a prioritară este</w:t>
      </w:r>
      <w:r w:rsidR="00656FD4" w:rsidRPr="000B0EAC">
        <w:rPr>
          <w:lang w:val="ro-RO"/>
        </w:rPr>
        <w:t xml:space="preserve"> a criteriilor de performanță, </w:t>
      </w:r>
      <w:r>
        <w:rPr>
          <w:lang w:val="ro-RO"/>
        </w:rPr>
        <w:t xml:space="preserve">însă dublate de punctaje specifice pentru categorii sociale vulnerabile. </w:t>
      </w:r>
      <w:r w:rsidRPr="000B0EAC">
        <w:rPr>
          <w:lang w:val="ro-RO"/>
        </w:rPr>
        <w:t xml:space="preserve">Serbia </w:t>
      </w:r>
      <w:r>
        <w:rPr>
          <w:lang w:val="ro-RO"/>
        </w:rPr>
        <w:t xml:space="preserve">este promovată ca </w:t>
      </w:r>
      <w:r w:rsidR="00656FD4" w:rsidRPr="000B0EAC">
        <w:rPr>
          <w:lang w:val="ro-RO"/>
        </w:rPr>
        <w:t>alt exemplu</w:t>
      </w:r>
      <w:r w:rsidR="00656FD4">
        <w:rPr>
          <w:lang w:val="ro-RO"/>
        </w:rPr>
        <w:t xml:space="preserve"> </w:t>
      </w:r>
      <w:r w:rsidR="00656FD4" w:rsidRPr="000B0EAC">
        <w:rPr>
          <w:lang w:val="ro-RO"/>
        </w:rPr>
        <w:t>pozitiv în ceea ce privește admiterea</w:t>
      </w:r>
      <w:r w:rsidR="00656FD4">
        <w:rPr>
          <w:lang w:val="ro-RO"/>
        </w:rPr>
        <w:t xml:space="preserve"> </w:t>
      </w:r>
      <w:r w:rsidR="00656FD4" w:rsidRPr="000B0EAC">
        <w:rPr>
          <w:lang w:val="ro-RO"/>
        </w:rPr>
        <w:t xml:space="preserve">studenților </w:t>
      </w:r>
      <w:r>
        <w:rPr>
          <w:lang w:val="ro-RO"/>
        </w:rPr>
        <w:t>fiindcă</w:t>
      </w:r>
      <w:r w:rsidR="00656FD4" w:rsidRPr="000B0EAC">
        <w:rPr>
          <w:lang w:val="ro-RO"/>
        </w:rPr>
        <w:t xml:space="preserve"> rezervă anual 2% din</w:t>
      </w:r>
      <w:r>
        <w:rPr>
          <w:lang w:val="ro-RO"/>
        </w:rPr>
        <w:t>tre</w:t>
      </w:r>
      <w:r w:rsidR="00656FD4">
        <w:rPr>
          <w:lang w:val="ro-RO"/>
        </w:rPr>
        <w:t xml:space="preserve"> </w:t>
      </w:r>
      <w:r w:rsidR="00656FD4" w:rsidRPr="000B0EAC">
        <w:rPr>
          <w:lang w:val="ro-RO"/>
        </w:rPr>
        <w:t>locurile bugetate pentru studenții de etnie romă sau cu</w:t>
      </w:r>
      <w:r w:rsidR="00656FD4">
        <w:rPr>
          <w:lang w:val="ro-RO"/>
        </w:rPr>
        <w:t xml:space="preserve"> </w:t>
      </w:r>
      <w:r w:rsidR="00656FD4" w:rsidRPr="000B0EAC">
        <w:rPr>
          <w:lang w:val="ro-RO"/>
        </w:rPr>
        <w:t>dizabilități.</w:t>
      </w:r>
    </w:p>
    <w:p w14:paraId="3AA94C96" w14:textId="6BC035D6" w:rsidR="00892C8F" w:rsidRDefault="00790DA5" w:rsidP="00656FD4">
      <w:pPr>
        <w:rPr>
          <w:lang w:val="ro-RO"/>
        </w:rPr>
      </w:pPr>
      <w:r>
        <w:rPr>
          <w:lang w:val="ro-RO"/>
        </w:rPr>
        <w:t xml:space="preserve">Cu toate acestea, </w:t>
      </w:r>
      <w:r w:rsidR="00EF6E38">
        <w:rPr>
          <w:lang w:val="ro-RO"/>
        </w:rPr>
        <w:t xml:space="preserve">în societatea actuală de pretutindeni se găsesc nedreptăți și impedimente pentru grupurile defavorizate. </w:t>
      </w:r>
      <w:r w:rsidR="006E6291">
        <w:rPr>
          <w:lang w:val="ro-RO"/>
        </w:rPr>
        <w:t xml:space="preserve">Necesitatea intervenției pentru a integra și oferi posibilități acestor </w:t>
      </w:r>
      <w:r w:rsidR="00847237">
        <w:rPr>
          <w:lang w:val="ro-RO"/>
        </w:rPr>
        <w:t>indivizi</w:t>
      </w:r>
      <w:r w:rsidR="006E6291">
        <w:rPr>
          <w:lang w:val="ro-RO"/>
        </w:rPr>
        <w:t xml:space="preserve"> este </w:t>
      </w:r>
      <w:r w:rsidR="006E6291" w:rsidRPr="005B6D06">
        <w:rPr>
          <w:lang w:val="ro-RO"/>
        </w:rPr>
        <w:t>imperioasă</w:t>
      </w:r>
      <w:r w:rsidR="007B74E4">
        <w:rPr>
          <w:lang w:val="ro-RO"/>
        </w:rPr>
        <w:t xml:space="preserve">, întrucât marginalizarea și injustițiile nu vor înceta fără </w:t>
      </w:r>
      <w:r w:rsidR="005B6D06">
        <w:rPr>
          <w:lang w:val="ro-RO"/>
        </w:rPr>
        <w:t>intevenția</w:t>
      </w:r>
      <w:r w:rsidR="007B74E4">
        <w:rPr>
          <w:lang w:val="ro-RO"/>
        </w:rPr>
        <w:t xml:space="preserve"> </w:t>
      </w:r>
      <w:r w:rsidR="005B6D06">
        <w:rPr>
          <w:lang w:val="ro-RO"/>
        </w:rPr>
        <w:t>Statului</w:t>
      </w:r>
      <w:r w:rsidR="00847237">
        <w:rPr>
          <w:lang w:val="ro-RO"/>
        </w:rPr>
        <w:t>, a soci</w:t>
      </w:r>
      <w:r w:rsidR="005B6D06">
        <w:rPr>
          <w:lang w:val="ro-RO"/>
        </w:rPr>
        <w:t>etății civile și a</w:t>
      </w:r>
      <w:r w:rsidR="007B74E4">
        <w:rPr>
          <w:lang w:val="ro-RO"/>
        </w:rPr>
        <w:t xml:space="preserve"> instituțiilor</w:t>
      </w:r>
      <w:r w:rsidR="005F0D4A">
        <w:rPr>
          <w:lang w:val="ro-RO"/>
        </w:rPr>
        <w:t xml:space="preserve"> </w:t>
      </w:r>
      <w:r w:rsidR="005B6D06">
        <w:rPr>
          <w:lang w:val="ro-RO"/>
        </w:rPr>
        <w:t xml:space="preserve">academice. </w:t>
      </w:r>
      <w:r w:rsidR="009B6534">
        <w:rPr>
          <w:lang w:val="ro-RO"/>
        </w:rPr>
        <w:t xml:space="preserve">Deși </w:t>
      </w:r>
      <w:r w:rsidR="005B6D06">
        <w:rPr>
          <w:lang w:val="ro-RO"/>
        </w:rPr>
        <w:t>discriminarea</w:t>
      </w:r>
      <w:r w:rsidR="009B6534">
        <w:rPr>
          <w:lang w:val="ro-RO"/>
        </w:rPr>
        <w:t xml:space="preserve"> pozitiv</w:t>
      </w:r>
      <w:r w:rsidR="005B6D06">
        <w:rPr>
          <w:lang w:val="ro-RO"/>
        </w:rPr>
        <w:t>ă</w:t>
      </w:r>
      <w:r w:rsidR="009B6534">
        <w:rPr>
          <w:lang w:val="ro-RO"/>
        </w:rPr>
        <w:t xml:space="preserve"> </w:t>
      </w:r>
      <w:r w:rsidR="005B6D06">
        <w:rPr>
          <w:lang w:val="ro-RO"/>
        </w:rPr>
        <w:t>poate duce la</w:t>
      </w:r>
      <w:r w:rsidR="009B6534">
        <w:rPr>
          <w:lang w:val="ro-RO"/>
        </w:rPr>
        <w:t xml:space="preserve"> exces</w:t>
      </w:r>
      <w:r w:rsidR="005B6D06">
        <w:rPr>
          <w:lang w:val="ro-RO"/>
        </w:rPr>
        <w:t>e și astfel își poate pierde</w:t>
      </w:r>
      <w:r w:rsidR="009B6534">
        <w:rPr>
          <w:lang w:val="ro-RO"/>
        </w:rPr>
        <w:t xml:space="preserve"> scopul inițial – acela de a ajuta tinerii care dovedesc potențial și </w:t>
      </w:r>
      <w:r w:rsidR="00EA6CB2" w:rsidRPr="00847237">
        <w:rPr>
          <w:lang w:val="ro-RO"/>
        </w:rPr>
        <w:t>râvnă</w:t>
      </w:r>
      <w:r w:rsidR="009B6534">
        <w:rPr>
          <w:lang w:val="ro-RO"/>
        </w:rPr>
        <w:t>, însă din cauza unor circumstanțe nefavorabile, nu pot să își exploateze la maxim potențialul, având nevoie de suport</w:t>
      </w:r>
      <w:r w:rsidR="00847237">
        <w:rPr>
          <w:lang w:val="ro-RO"/>
        </w:rPr>
        <w:t xml:space="preserve"> </w:t>
      </w:r>
      <w:r w:rsidR="009B6534">
        <w:rPr>
          <w:lang w:val="ro-RO"/>
        </w:rPr>
        <w:t xml:space="preserve">–, </w:t>
      </w:r>
      <w:r w:rsidR="00847237">
        <w:rPr>
          <w:lang w:val="ro-RO"/>
        </w:rPr>
        <w:t>aceasta trebuie mereu dublată de atenție cu privire la parcursul academic ulterior și corelată cu performanțele studenților care nu au fost nevoiți de a fi favorizați în această etapă a vieții</w:t>
      </w:r>
      <w:r w:rsidR="009B6534">
        <w:rPr>
          <w:lang w:val="ro-RO"/>
        </w:rPr>
        <w:t xml:space="preserve">. </w:t>
      </w:r>
      <w:r w:rsidR="00892C8F">
        <w:rPr>
          <w:lang w:val="ro-RO"/>
        </w:rPr>
        <w:t xml:space="preserve">Cum afirmă </w:t>
      </w:r>
      <w:r w:rsidR="00892C8F" w:rsidRPr="00892C8F">
        <w:rPr>
          <w:lang w:val="ro-RO"/>
        </w:rPr>
        <w:t>Richard Arneson</w:t>
      </w:r>
      <w:r w:rsidR="00892C8F">
        <w:rPr>
          <w:rStyle w:val="FootnoteReference"/>
          <w:lang w:val="ro-RO"/>
        </w:rPr>
        <w:footnoteReference w:id="9"/>
      </w:r>
      <w:r w:rsidR="00892C8F">
        <w:rPr>
          <w:lang w:val="ro-RO"/>
        </w:rPr>
        <w:t xml:space="preserve">, </w:t>
      </w:r>
      <w:r w:rsidR="00892C8F" w:rsidRPr="00892C8F">
        <w:rPr>
          <w:lang w:val="ro-RO"/>
        </w:rPr>
        <w:t xml:space="preserve">“prin egalitatea de oportunitate nu este garantat faptul că discriminarea sau asuprirea nu ar influența distribuirea funcțiilor de avantaj”. Arneson </w:t>
      </w:r>
      <w:r w:rsidR="00892C8F">
        <w:rPr>
          <w:lang w:val="ro-RO"/>
        </w:rPr>
        <w:t>dă exemplu</w:t>
      </w:r>
      <w:r w:rsidR="00892C8F" w:rsidRPr="00892C8F">
        <w:rPr>
          <w:lang w:val="ro-RO"/>
        </w:rPr>
        <w:t xml:space="preserve"> </w:t>
      </w:r>
      <w:r w:rsidR="00892C8F">
        <w:rPr>
          <w:lang w:val="ro-RO"/>
        </w:rPr>
        <w:t>doi indivizi care</w:t>
      </w:r>
      <w:r w:rsidR="00892C8F" w:rsidRPr="00892C8F">
        <w:rPr>
          <w:lang w:val="ro-RO"/>
        </w:rPr>
        <w:t xml:space="preserve"> au aceleași talente</w:t>
      </w:r>
      <w:r w:rsidR="00892C8F">
        <w:rPr>
          <w:lang w:val="ro-RO"/>
        </w:rPr>
        <w:t>:</w:t>
      </w:r>
      <w:r w:rsidR="00892C8F" w:rsidRPr="00892C8F">
        <w:rPr>
          <w:lang w:val="ro-RO"/>
        </w:rPr>
        <w:t xml:space="preserve"> posibilitatea ca aceștia să aibă și același nivel de ambiție este foarte mic</w:t>
      </w:r>
      <w:r w:rsidR="00892C8F">
        <w:rPr>
          <w:lang w:val="ro-RO"/>
        </w:rPr>
        <w:t xml:space="preserve">ă, concluzionând că </w:t>
      </w:r>
      <w:r w:rsidR="00892C8F" w:rsidRPr="00892C8F">
        <w:rPr>
          <w:lang w:val="ro-RO"/>
        </w:rPr>
        <w:t>educația și procesul de socializare influenț</w:t>
      </w:r>
      <w:r w:rsidR="00892C8F">
        <w:rPr>
          <w:lang w:val="ro-RO"/>
        </w:rPr>
        <w:t>e</w:t>
      </w:r>
      <w:r w:rsidR="00892C8F" w:rsidRPr="00892C8F">
        <w:rPr>
          <w:lang w:val="ro-RO"/>
        </w:rPr>
        <w:t>a</w:t>
      </w:r>
      <w:r w:rsidR="00892C8F">
        <w:rPr>
          <w:lang w:val="ro-RO"/>
        </w:rPr>
        <w:t>ză</w:t>
      </w:r>
      <w:r w:rsidR="00892C8F" w:rsidRPr="00892C8F">
        <w:rPr>
          <w:lang w:val="ro-RO"/>
        </w:rPr>
        <w:t xml:space="preserve"> </w:t>
      </w:r>
      <w:r w:rsidR="00892C8F">
        <w:rPr>
          <w:lang w:val="ro-RO"/>
        </w:rPr>
        <w:t>definitiv</w:t>
      </w:r>
      <w:r w:rsidR="00892C8F" w:rsidRPr="00892C8F">
        <w:rPr>
          <w:lang w:val="ro-RO"/>
        </w:rPr>
        <w:t xml:space="preserve"> formarea ambițiilor individuale.</w:t>
      </w:r>
    </w:p>
    <w:p w14:paraId="46AF16E8" w14:textId="6112650B" w:rsidR="007B74E4" w:rsidRDefault="009B6534" w:rsidP="00656FD4">
      <w:pPr>
        <w:rPr>
          <w:lang w:val="ro-RO"/>
        </w:rPr>
      </w:pPr>
      <w:r>
        <w:rPr>
          <w:lang w:val="ro-RO"/>
        </w:rPr>
        <w:t xml:space="preserve">Discriminarea pozitivă </w:t>
      </w:r>
      <w:r w:rsidR="00847237">
        <w:rPr>
          <w:lang w:val="ro-RO"/>
        </w:rPr>
        <w:t xml:space="preserve">în mediul universitar </w:t>
      </w:r>
      <w:r>
        <w:rPr>
          <w:lang w:val="ro-RO"/>
        </w:rPr>
        <w:t>este</w:t>
      </w:r>
      <w:r w:rsidR="00847237">
        <w:rPr>
          <w:lang w:val="ro-RO"/>
        </w:rPr>
        <w:t>, așadar,</w:t>
      </w:r>
      <w:r>
        <w:rPr>
          <w:lang w:val="ro-RO"/>
        </w:rPr>
        <w:t xml:space="preserve"> benefică dacă este folosită </w:t>
      </w:r>
      <w:r w:rsidR="00847237">
        <w:rPr>
          <w:lang w:val="ro-RO"/>
        </w:rPr>
        <w:t>cumpătat, devenind o unealtă foarte utilă pentru societate în efortul de a îndrepta inechitățile și inegalitățile.</w:t>
      </w:r>
    </w:p>
    <w:sectPr w:rsidR="007B74E4" w:rsidSect="0005759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A588B" w14:textId="77777777" w:rsidR="00562A76" w:rsidRDefault="00562A76" w:rsidP="00670332">
      <w:pPr>
        <w:spacing w:after="0" w:line="240" w:lineRule="auto"/>
      </w:pPr>
      <w:r>
        <w:separator/>
      </w:r>
    </w:p>
  </w:endnote>
  <w:endnote w:type="continuationSeparator" w:id="0">
    <w:p w14:paraId="5ACCB84F" w14:textId="77777777" w:rsidR="00562A76" w:rsidRDefault="00562A76" w:rsidP="00670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891929"/>
      <w:docPartObj>
        <w:docPartGallery w:val="Page Numbers (Bottom of Page)"/>
        <w:docPartUnique/>
      </w:docPartObj>
    </w:sdtPr>
    <w:sdtEndPr/>
    <w:sdtContent>
      <w:p w14:paraId="2DD02FB0" w14:textId="5E0D511B" w:rsidR="006A02C4" w:rsidRDefault="006A02C4" w:rsidP="006A02C4">
        <w:pPr>
          <w:pStyle w:val="Footer"/>
          <w:ind w:firstLine="0"/>
          <w:jc w:val="center"/>
        </w:pPr>
        <w:r>
          <w:fldChar w:fldCharType="begin"/>
        </w:r>
        <w:r>
          <w:instrText xml:space="preserve"> PAGE   \* MERGEFORMAT </w:instrText>
        </w:r>
        <w:r>
          <w:fldChar w:fldCharType="separate"/>
        </w:r>
        <w:r w:rsidR="00100DAC">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752F" w14:textId="77777777" w:rsidR="00562A76" w:rsidRDefault="00562A76" w:rsidP="00670332">
      <w:pPr>
        <w:spacing w:after="0" w:line="240" w:lineRule="auto"/>
      </w:pPr>
      <w:r>
        <w:separator/>
      </w:r>
    </w:p>
  </w:footnote>
  <w:footnote w:type="continuationSeparator" w:id="0">
    <w:p w14:paraId="0A56DE4A" w14:textId="77777777" w:rsidR="00562A76" w:rsidRDefault="00562A76" w:rsidP="00670332">
      <w:pPr>
        <w:spacing w:after="0" w:line="240" w:lineRule="auto"/>
      </w:pPr>
      <w:r>
        <w:continuationSeparator/>
      </w:r>
    </w:p>
  </w:footnote>
  <w:footnote w:id="1">
    <w:p w14:paraId="11F8AA8D" w14:textId="4D55B90F" w:rsidR="00856A38" w:rsidRPr="00856A38" w:rsidRDefault="00856A38" w:rsidP="00856A38">
      <w:pPr>
        <w:pStyle w:val="FootnoteText"/>
        <w:ind w:firstLine="0"/>
        <w:rPr>
          <w:lang w:val="ro-RO"/>
        </w:rPr>
      </w:pPr>
      <w:r>
        <w:rPr>
          <w:rStyle w:val="FootnoteReference"/>
        </w:rPr>
        <w:footnoteRef/>
      </w:r>
      <w:r>
        <w:t xml:space="preserve"> </w:t>
      </w:r>
      <w:r w:rsidRPr="00856A38">
        <w:rPr>
          <w:lang w:val="ro-RO"/>
        </w:rPr>
        <w:t xml:space="preserve">Situațiile de discriminare sunt, potrivit legislației românești, orice deosebire, excludere, restricție sau preferință pe bază de rasă, naționalitate, etnie, limbă, religie, categorie socială, convingeri, sex, orientare sexuală, vârstă, handicap, boală cronică necontagioasă, infectare HIV, apartenența la o categorie defavorizată, precum și orice alt criteriu care are ca scop sau efect restrângerea, înlăturarea recunoașterii, folosinței sau exercitării, în condiții de egalitate, a drepturilor omului și a libertăților fundamentale sau a </w:t>
      </w:r>
      <w:r>
        <w:rPr>
          <w:lang w:val="ro-RO"/>
        </w:rPr>
        <w:t xml:space="preserve">drepturilor recunoscute de lege – cf. </w:t>
      </w:r>
      <w:proofErr w:type="spellStart"/>
      <w:r>
        <w:rPr>
          <w:i/>
        </w:rPr>
        <w:t>Ordonanț</w:t>
      </w:r>
      <w:r w:rsidRPr="00483440">
        <w:rPr>
          <w:i/>
        </w:rPr>
        <w:t>a</w:t>
      </w:r>
      <w:proofErr w:type="spellEnd"/>
      <w:r>
        <w:t xml:space="preserve"> nr. 137 </w:t>
      </w:r>
      <w:proofErr w:type="spellStart"/>
      <w:r>
        <w:t>din</w:t>
      </w:r>
      <w:proofErr w:type="spellEnd"/>
      <w:r>
        <w:t xml:space="preserve"> 31 </w:t>
      </w:r>
      <w:proofErr w:type="spellStart"/>
      <w:r>
        <w:t>august</w:t>
      </w:r>
      <w:proofErr w:type="spellEnd"/>
      <w:r>
        <w:t xml:space="preserve"> 2000 (</w:t>
      </w:r>
      <w:proofErr w:type="spellStart"/>
      <w:r>
        <w:t>republicată</w:t>
      </w:r>
      <w:proofErr w:type="spellEnd"/>
      <w:r>
        <w:t xml:space="preserve"> </w:t>
      </w:r>
      <w:proofErr w:type="spellStart"/>
      <w:r>
        <w:t>în</w:t>
      </w:r>
      <w:proofErr w:type="spellEnd"/>
      <w:r>
        <w:t xml:space="preserve"> 2007) </w:t>
      </w:r>
      <w:proofErr w:type="spellStart"/>
      <w:r>
        <w:t>privind</w:t>
      </w:r>
      <w:proofErr w:type="spellEnd"/>
      <w:r>
        <w:t xml:space="preserve"> </w:t>
      </w:r>
      <w:proofErr w:type="spellStart"/>
      <w:r>
        <w:t>prevenirea</w:t>
      </w:r>
      <w:proofErr w:type="spellEnd"/>
      <w:r>
        <w:t xml:space="preserve"> </w:t>
      </w:r>
      <w:proofErr w:type="spellStart"/>
      <w:r>
        <w:t>şi</w:t>
      </w:r>
      <w:proofErr w:type="spellEnd"/>
      <w:r>
        <w:t xml:space="preserve"> </w:t>
      </w:r>
      <w:proofErr w:type="spellStart"/>
      <w:r>
        <w:t>sanc</w:t>
      </w:r>
      <w:r w:rsidR="001805E3">
        <w:t>ț</w:t>
      </w:r>
      <w:r>
        <w:t>ionarea</w:t>
      </w:r>
      <w:proofErr w:type="spellEnd"/>
      <w:r>
        <w:t xml:space="preserve"> </w:t>
      </w:r>
      <w:proofErr w:type="spellStart"/>
      <w:r>
        <w:t>tuturor</w:t>
      </w:r>
      <w:proofErr w:type="spellEnd"/>
      <w:r>
        <w:t xml:space="preserve"> </w:t>
      </w:r>
      <w:proofErr w:type="spellStart"/>
      <w:r>
        <w:t>formelor</w:t>
      </w:r>
      <w:proofErr w:type="spellEnd"/>
      <w:r>
        <w:t xml:space="preserve"> de </w:t>
      </w:r>
      <w:proofErr w:type="spellStart"/>
      <w:r>
        <w:t>discriminare</w:t>
      </w:r>
      <w:proofErr w:type="spellEnd"/>
      <w:r>
        <w:t xml:space="preserve">. </w:t>
      </w:r>
      <w:proofErr w:type="spellStart"/>
      <w:r w:rsidRPr="00483440">
        <w:t>Textul</w:t>
      </w:r>
      <w:proofErr w:type="spellEnd"/>
      <w:r w:rsidRPr="00483440">
        <w:t xml:space="preserve"> </w:t>
      </w:r>
      <w:proofErr w:type="spellStart"/>
      <w:r w:rsidRPr="00483440">
        <w:t>actului</w:t>
      </w:r>
      <w:proofErr w:type="spellEnd"/>
      <w:r w:rsidRPr="00483440">
        <w:t xml:space="preserve"> </w:t>
      </w:r>
      <w:r>
        <w:t xml:space="preserve">a </w:t>
      </w:r>
      <w:proofErr w:type="spellStart"/>
      <w:r>
        <w:t>fost</w:t>
      </w:r>
      <w:proofErr w:type="spellEnd"/>
      <w:r>
        <w:t xml:space="preserve"> </w:t>
      </w:r>
      <w:proofErr w:type="spellStart"/>
      <w:r>
        <w:t>publicat</w:t>
      </w:r>
      <w:proofErr w:type="spellEnd"/>
      <w:r>
        <w:t xml:space="preserve"> </w:t>
      </w:r>
      <w:proofErr w:type="spellStart"/>
      <w:r>
        <w:t>în</w:t>
      </w:r>
      <w:proofErr w:type="spellEnd"/>
      <w:r>
        <w:t xml:space="preserve"> </w:t>
      </w:r>
      <w:proofErr w:type="spellStart"/>
      <w:r w:rsidRPr="00483440">
        <w:rPr>
          <w:i/>
        </w:rPr>
        <w:t>Monitorul</w:t>
      </w:r>
      <w:proofErr w:type="spellEnd"/>
      <w:r w:rsidRPr="00483440">
        <w:rPr>
          <w:i/>
        </w:rPr>
        <w:t xml:space="preserve"> </w:t>
      </w:r>
      <w:proofErr w:type="spellStart"/>
      <w:r w:rsidRPr="00483440">
        <w:rPr>
          <w:i/>
        </w:rPr>
        <w:t>Oficial</w:t>
      </w:r>
      <w:proofErr w:type="spellEnd"/>
      <w:r>
        <w:t xml:space="preserve"> </w:t>
      </w:r>
      <w:r w:rsidRPr="00483440">
        <w:t>nr. 431/2 sep. 2000</w:t>
      </w:r>
      <w:r>
        <w:t>.</w:t>
      </w:r>
    </w:p>
  </w:footnote>
  <w:footnote w:id="2">
    <w:p w14:paraId="2E6654CE" w14:textId="7F58943D" w:rsidR="00E50376" w:rsidRPr="00E50376" w:rsidRDefault="00E50376" w:rsidP="00E50376">
      <w:pPr>
        <w:pStyle w:val="FootnoteText"/>
        <w:ind w:firstLine="0"/>
        <w:rPr>
          <w:lang w:val="ro-RO"/>
        </w:rPr>
      </w:pPr>
      <w:r>
        <w:rPr>
          <w:rStyle w:val="FootnoteReference"/>
        </w:rPr>
        <w:footnoteRef/>
      </w:r>
      <w:r>
        <w:t xml:space="preserve"> </w:t>
      </w:r>
      <w:r>
        <w:rPr>
          <w:lang w:val="ro-RO"/>
        </w:rPr>
        <w:t xml:space="preserve">Rawls, John (2011). </w:t>
      </w:r>
      <w:r w:rsidRPr="00E50376">
        <w:rPr>
          <w:b/>
          <w:lang w:val="ro-RO"/>
        </w:rPr>
        <w:t>O teorie a dreptății</w:t>
      </w:r>
      <w:r>
        <w:rPr>
          <w:lang w:val="ro-RO"/>
        </w:rPr>
        <w:t xml:space="preserve">. Iași: Editura Universității Ioan Cuza, </w:t>
      </w:r>
      <w:r w:rsidRPr="00E50376">
        <w:rPr>
          <w:lang w:val="ro-RO"/>
        </w:rPr>
        <w:t>Seria Sophia</w:t>
      </w:r>
      <w:r>
        <w:rPr>
          <w:lang w:val="ro-RO"/>
        </w:rPr>
        <w:t>.</w:t>
      </w:r>
      <w:r w:rsidRPr="00E50376">
        <w:t xml:space="preserve"> </w:t>
      </w:r>
      <w:r w:rsidRPr="00E50376">
        <w:rPr>
          <w:lang w:val="ro-RO"/>
        </w:rPr>
        <w:t xml:space="preserve">Traducere </w:t>
      </w:r>
      <w:r>
        <w:rPr>
          <w:lang w:val="ro-RO"/>
        </w:rPr>
        <w:t xml:space="preserve">de </w:t>
      </w:r>
      <w:r w:rsidRPr="00E50376">
        <w:rPr>
          <w:lang w:val="ro-RO"/>
        </w:rPr>
        <w:t>Horia T</w:t>
      </w:r>
      <w:r>
        <w:rPr>
          <w:lang w:val="ro-RO"/>
        </w:rPr>
        <w:t>â</w:t>
      </w:r>
      <w:r w:rsidRPr="00E50376">
        <w:rPr>
          <w:lang w:val="ro-RO"/>
        </w:rPr>
        <w:t xml:space="preserve">rnovanu, </w:t>
      </w:r>
      <w:r>
        <w:rPr>
          <w:lang w:val="ro-RO"/>
        </w:rPr>
        <w:t xml:space="preserve"> </w:t>
      </w:r>
      <w:r w:rsidRPr="00E50376">
        <w:rPr>
          <w:lang w:val="ro-RO"/>
        </w:rPr>
        <w:t xml:space="preserve">532 </w:t>
      </w:r>
      <w:r>
        <w:rPr>
          <w:lang w:val="ro-RO"/>
        </w:rPr>
        <w:t>p.</w:t>
      </w:r>
    </w:p>
  </w:footnote>
  <w:footnote w:id="3">
    <w:p w14:paraId="43A0D913" w14:textId="2393A1AA" w:rsidR="00E50376" w:rsidRPr="00E50376" w:rsidRDefault="00E50376" w:rsidP="00E50376">
      <w:pPr>
        <w:pStyle w:val="FootnoteText"/>
        <w:ind w:firstLine="0"/>
        <w:rPr>
          <w:lang w:val="ro-RO"/>
        </w:rPr>
      </w:pPr>
      <w:r>
        <w:rPr>
          <w:rStyle w:val="FootnoteReference"/>
        </w:rPr>
        <w:footnoteRef/>
      </w:r>
      <w:r>
        <w:t xml:space="preserve"> </w:t>
      </w:r>
      <w:proofErr w:type="spellStart"/>
      <w:r>
        <w:t>Sandu</w:t>
      </w:r>
      <w:proofErr w:type="spellEnd"/>
      <w:r>
        <w:t xml:space="preserve">, Antonio (2012). </w:t>
      </w:r>
      <w:proofErr w:type="spellStart"/>
      <w:r w:rsidRPr="00E50376">
        <w:rPr>
          <w:b/>
        </w:rPr>
        <w:t>Et</w:t>
      </w:r>
      <w:r>
        <w:rPr>
          <w:b/>
        </w:rPr>
        <w:t>ică</w:t>
      </w:r>
      <w:proofErr w:type="spellEnd"/>
      <w:r>
        <w:rPr>
          <w:b/>
        </w:rPr>
        <w:t xml:space="preserve"> </w:t>
      </w:r>
      <w:proofErr w:type="spellStart"/>
      <w:r>
        <w:rPr>
          <w:b/>
        </w:rPr>
        <w:t>ș</w:t>
      </w:r>
      <w:r w:rsidRPr="00E50376">
        <w:rPr>
          <w:b/>
        </w:rPr>
        <w:t>i</w:t>
      </w:r>
      <w:proofErr w:type="spellEnd"/>
      <w:r w:rsidRPr="00E50376">
        <w:rPr>
          <w:b/>
        </w:rPr>
        <w:t xml:space="preserve"> </w:t>
      </w:r>
      <w:proofErr w:type="spellStart"/>
      <w:r w:rsidRPr="00E50376">
        <w:rPr>
          <w:b/>
        </w:rPr>
        <w:t>deontologie</w:t>
      </w:r>
      <w:proofErr w:type="spellEnd"/>
      <w:r w:rsidRPr="00E50376">
        <w:rPr>
          <w:b/>
        </w:rPr>
        <w:t xml:space="preserve"> </w:t>
      </w:r>
      <w:proofErr w:type="spellStart"/>
      <w:r w:rsidRPr="00E50376">
        <w:rPr>
          <w:b/>
        </w:rPr>
        <w:t>profesionala</w:t>
      </w:r>
      <w:proofErr w:type="spellEnd"/>
      <w:r>
        <w:t>.</w:t>
      </w:r>
      <w:r w:rsidR="00D86200">
        <w:t xml:space="preserve"> </w:t>
      </w:r>
      <w:proofErr w:type="spellStart"/>
      <w:proofErr w:type="gramStart"/>
      <w:r w:rsidR="00D86200">
        <w:t>Iaș</w:t>
      </w:r>
      <w:r w:rsidRPr="00E50376">
        <w:t>i</w:t>
      </w:r>
      <w:proofErr w:type="spellEnd"/>
      <w:r w:rsidRPr="00E50376">
        <w:t>:</w:t>
      </w:r>
      <w:proofErr w:type="gramEnd"/>
      <w:r w:rsidRPr="00E50376">
        <w:t xml:space="preserve"> </w:t>
      </w:r>
      <w:proofErr w:type="spellStart"/>
      <w:r w:rsidR="001F194D">
        <w:t>Editura</w:t>
      </w:r>
      <w:proofErr w:type="spellEnd"/>
      <w:r w:rsidR="001F194D">
        <w:t xml:space="preserve"> </w:t>
      </w:r>
      <w:r w:rsidRPr="00E50376">
        <w:t>Lumen</w:t>
      </w:r>
      <w:r>
        <w:t>, p. 25</w:t>
      </w:r>
      <w:r w:rsidRPr="00E50376">
        <w:t>.</w:t>
      </w:r>
    </w:p>
  </w:footnote>
  <w:footnote w:id="4">
    <w:p w14:paraId="510F25A0" w14:textId="6175F06D" w:rsidR="00C267CB" w:rsidRPr="00C267CB" w:rsidRDefault="00C267CB" w:rsidP="00C267CB">
      <w:pPr>
        <w:pStyle w:val="FootnoteText"/>
        <w:ind w:firstLine="0"/>
        <w:rPr>
          <w:lang w:val="ro-RO"/>
        </w:rPr>
      </w:pPr>
      <w:r>
        <w:rPr>
          <w:rStyle w:val="FootnoteReference"/>
        </w:rPr>
        <w:footnoteRef/>
      </w:r>
      <w:r>
        <w:t xml:space="preserve"> </w:t>
      </w:r>
      <w:r w:rsidRPr="00023B72">
        <w:rPr>
          <w:rFonts w:cs="Times New Roman"/>
          <w:lang w:val="ro-RO"/>
        </w:rPr>
        <w:t xml:space="preserve">Iordache, </w:t>
      </w:r>
      <w:r w:rsidR="00483440" w:rsidRPr="00023B72">
        <w:rPr>
          <w:rFonts w:cs="Times New Roman"/>
          <w:lang w:val="ro-RO"/>
        </w:rPr>
        <w:t xml:space="preserve">Adriana </w:t>
      </w:r>
      <w:r w:rsidR="00483440">
        <w:rPr>
          <w:rFonts w:cs="Times New Roman"/>
          <w:lang w:val="ro-RO"/>
        </w:rPr>
        <w:t>et. al</w:t>
      </w:r>
      <w:r w:rsidRPr="00023B72">
        <w:rPr>
          <w:rFonts w:cs="Times New Roman"/>
          <w:lang w:val="ro-RO"/>
        </w:rPr>
        <w:t xml:space="preserve"> </w:t>
      </w:r>
      <w:r>
        <w:rPr>
          <w:rFonts w:cs="Times New Roman"/>
          <w:lang w:val="ro-RO"/>
        </w:rPr>
        <w:t xml:space="preserve">(2015). Raportul de cercetare: </w:t>
      </w:r>
      <w:r w:rsidRPr="00581A02">
        <w:rPr>
          <w:rFonts w:cs="Times New Roman"/>
        </w:rPr>
        <w:t>“</w:t>
      </w:r>
      <w:r w:rsidRPr="00023B72">
        <w:rPr>
          <w:rFonts w:cs="Times New Roman"/>
          <w:lang w:val="ro-RO"/>
        </w:rPr>
        <w:t>Discriminarea în mediul universitar: percepţii, mecanisme de combatere şi reflectare în mass-media”. București: S</w:t>
      </w:r>
      <w:r>
        <w:rPr>
          <w:rFonts w:cs="Times New Roman"/>
          <w:lang w:val="ro-RO"/>
        </w:rPr>
        <w:t>ocietatea Academică din România, p. 3.</w:t>
      </w:r>
      <w:r w:rsidRPr="00023B72">
        <w:rPr>
          <w:rFonts w:cs="Times New Roman"/>
          <w:lang w:val="ro-RO"/>
        </w:rPr>
        <w:t xml:space="preserve"> </w:t>
      </w:r>
      <w:r w:rsidR="00562A76">
        <w:fldChar w:fldCharType="begin"/>
      </w:r>
      <w:r w:rsidR="00562A76">
        <w:instrText xml:space="preserve"> HYPERLINK "http://sar.org.ro/wp-content/uplo</w:instrText>
      </w:r>
      <w:r w:rsidR="00562A76">
        <w:instrText xml:space="preserve">ads/2015/12/Raport-de-cercetare-Mob-univ-2.pdf" </w:instrText>
      </w:r>
      <w:r w:rsidR="00562A76">
        <w:fldChar w:fldCharType="separate"/>
      </w:r>
      <w:r w:rsidRPr="004701D8">
        <w:rPr>
          <w:rStyle w:val="Hyperlink"/>
          <w:rFonts w:cs="Times New Roman"/>
          <w:lang w:val="ro-RO"/>
        </w:rPr>
        <w:t>http://sar.org.ro/wp-content/uploads/2015/12/Raport-de-cercetare-Mob-univ-2.pdf</w:t>
      </w:r>
      <w:r w:rsidR="00562A76">
        <w:rPr>
          <w:rStyle w:val="Hyperlink"/>
          <w:rFonts w:cs="Times New Roman"/>
          <w:lang w:val="ro-RO"/>
        </w:rPr>
        <w:fldChar w:fldCharType="end"/>
      </w:r>
    </w:p>
  </w:footnote>
  <w:footnote w:id="5">
    <w:p w14:paraId="189E0D27" w14:textId="25A15E5C" w:rsidR="00856A38" w:rsidRPr="00023B72" w:rsidRDefault="00856A38" w:rsidP="00856A38">
      <w:pPr>
        <w:pStyle w:val="FootnoteText"/>
        <w:spacing w:line="276" w:lineRule="auto"/>
        <w:ind w:firstLine="0"/>
        <w:rPr>
          <w:rFonts w:cs="Times New Roman"/>
          <w:lang w:val="ro-RO"/>
        </w:rPr>
      </w:pPr>
      <w:r w:rsidRPr="00023B72">
        <w:rPr>
          <w:rStyle w:val="FootnoteReference"/>
          <w:rFonts w:cs="Times New Roman"/>
        </w:rPr>
        <w:footnoteRef/>
      </w:r>
      <w:r w:rsidRPr="00023B72">
        <w:rPr>
          <w:rFonts w:cs="Times New Roman"/>
        </w:rPr>
        <w:t xml:space="preserve"> </w:t>
      </w:r>
      <w:r w:rsidR="00C861BD" w:rsidRPr="00C861BD">
        <w:rPr>
          <w:rFonts w:cs="Times New Roman"/>
          <w:i/>
          <w:lang w:val="ro-RO"/>
        </w:rPr>
        <w:t>Idem</w:t>
      </w:r>
      <w:r>
        <w:rPr>
          <w:rFonts w:cs="Times New Roman"/>
          <w:lang w:val="ro-RO"/>
        </w:rPr>
        <w:t xml:space="preserve">, </w:t>
      </w:r>
      <w:r w:rsidRPr="00483440">
        <w:rPr>
          <w:rFonts w:cs="Times New Roman"/>
          <w:i/>
          <w:lang w:val="ro-RO"/>
        </w:rPr>
        <w:t>op. cit.,</w:t>
      </w:r>
      <w:r>
        <w:rPr>
          <w:rFonts w:cs="Times New Roman"/>
          <w:lang w:val="ro-RO"/>
        </w:rPr>
        <w:t xml:space="preserve"> p. 17 și urm.</w:t>
      </w:r>
    </w:p>
  </w:footnote>
  <w:footnote w:id="6">
    <w:p w14:paraId="3F3D780E" w14:textId="29C40D26" w:rsidR="003C4013" w:rsidRPr="003C4013" w:rsidRDefault="003C4013" w:rsidP="003C4013">
      <w:pPr>
        <w:pStyle w:val="FootnoteText"/>
        <w:ind w:firstLine="0"/>
        <w:rPr>
          <w:lang w:val="ro-RO"/>
        </w:rPr>
      </w:pPr>
      <w:r>
        <w:rPr>
          <w:rStyle w:val="FootnoteReference"/>
        </w:rPr>
        <w:footnoteRef/>
      </w:r>
      <w:r>
        <w:t xml:space="preserve"> </w:t>
      </w:r>
      <w:proofErr w:type="spellStart"/>
      <w:r>
        <w:t>Colectiv</w:t>
      </w:r>
      <w:proofErr w:type="spellEnd"/>
      <w:r>
        <w:t xml:space="preserve"> (2014). </w:t>
      </w:r>
      <w:proofErr w:type="spellStart"/>
      <w:r>
        <w:t>Raportul</w:t>
      </w:r>
      <w:proofErr w:type="spellEnd"/>
      <w:r>
        <w:t xml:space="preserve"> de </w:t>
      </w:r>
      <w:proofErr w:type="spellStart"/>
      <w:r>
        <w:t>cercetare</w:t>
      </w:r>
      <w:proofErr w:type="spellEnd"/>
      <w:r>
        <w:t xml:space="preserve"> “</w:t>
      </w:r>
      <w:proofErr w:type="spellStart"/>
      <w:r>
        <w:t>Tineri</w:t>
      </w:r>
      <w:proofErr w:type="spellEnd"/>
      <w:r>
        <w:t xml:space="preserve"> </w:t>
      </w:r>
      <w:proofErr w:type="spellStart"/>
      <w:r>
        <w:t>în</w:t>
      </w:r>
      <w:proofErr w:type="spellEnd"/>
      <w:r>
        <w:t xml:space="preserve"> </w:t>
      </w:r>
      <w:proofErr w:type="spellStart"/>
      <w:proofErr w:type="gramStart"/>
      <w:r>
        <w:t>România</w:t>
      </w:r>
      <w:proofErr w:type="spellEnd"/>
      <w:r>
        <w:t>:</w:t>
      </w:r>
      <w:proofErr w:type="gramEnd"/>
      <w:r>
        <w:t xml:space="preserve"> </w:t>
      </w:r>
      <w:proofErr w:type="spellStart"/>
      <w:r>
        <w:t>griji</w:t>
      </w:r>
      <w:proofErr w:type="spellEnd"/>
      <w:r>
        <w:t xml:space="preserve">, </w:t>
      </w:r>
      <w:proofErr w:type="spellStart"/>
      <w:r>
        <w:t>aspirații</w:t>
      </w:r>
      <w:proofErr w:type="spellEnd"/>
      <w:r>
        <w:t xml:space="preserve">, </w:t>
      </w:r>
      <w:proofErr w:type="spellStart"/>
      <w:r>
        <w:t>atitudini</w:t>
      </w:r>
      <w:proofErr w:type="spellEnd"/>
      <w:r>
        <w:t xml:space="preserve"> </w:t>
      </w:r>
      <w:proofErr w:type="spellStart"/>
      <w:r>
        <w:t>și</w:t>
      </w:r>
      <w:proofErr w:type="spellEnd"/>
      <w:r>
        <w:t xml:space="preserve"> </w:t>
      </w:r>
      <w:proofErr w:type="spellStart"/>
      <w:r>
        <w:t>stil</w:t>
      </w:r>
      <w:proofErr w:type="spellEnd"/>
      <w:r>
        <w:t xml:space="preserve"> de </w:t>
      </w:r>
      <w:proofErr w:type="spellStart"/>
      <w:r>
        <w:t>viață</w:t>
      </w:r>
      <w:proofErr w:type="spellEnd"/>
      <w:r>
        <w:t xml:space="preserve">”. </w:t>
      </w:r>
      <w:r w:rsidRPr="00581A02">
        <w:rPr>
          <w:lang w:val="en-GB"/>
        </w:rPr>
        <w:t xml:space="preserve">Friedrich-Ebert-Stiftung, p.59-64. </w:t>
      </w:r>
      <w:hyperlink r:id="rId1" w:history="1">
        <w:r w:rsidRPr="00581A02">
          <w:rPr>
            <w:rStyle w:val="Hyperlink"/>
            <w:lang w:val="en-GB"/>
          </w:rPr>
          <w:t>http://www.fes.ro/media/2014_news/Raport-FES-Tineri_in_Romania.pdf</w:t>
        </w:r>
      </w:hyperlink>
      <w:r w:rsidRPr="00581A02">
        <w:rPr>
          <w:lang w:val="en-GB"/>
        </w:rPr>
        <w:t xml:space="preserve">  </w:t>
      </w:r>
    </w:p>
  </w:footnote>
  <w:footnote w:id="7">
    <w:p w14:paraId="51DB8330" w14:textId="273CCA17" w:rsidR="00E11213" w:rsidRPr="00E11213" w:rsidRDefault="00E11213" w:rsidP="00E11213">
      <w:pPr>
        <w:pStyle w:val="FootnoteText"/>
        <w:ind w:firstLine="0"/>
        <w:rPr>
          <w:lang w:val="ro-RO"/>
        </w:rPr>
      </w:pPr>
      <w:r>
        <w:rPr>
          <w:rStyle w:val="FootnoteReference"/>
        </w:rPr>
        <w:footnoteRef/>
      </w:r>
      <w:r>
        <w:t xml:space="preserve"> </w:t>
      </w:r>
      <w:proofErr w:type="spellStart"/>
      <w:r>
        <w:t>Bădescu</w:t>
      </w:r>
      <w:proofErr w:type="spellEnd"/>
      <w:r>
        <w:t xml:space="preserve">, Gabriel et. </w:t>
      </w:r>
      <w:proofErr w:type="gramStart"/>
      <w:r>
        <w:t>al</w:t>
      </w:r>
      <w:proofErr w:type="gramEnd"/>
      <w:r>
        <w:t xml:space="preserve">. (2010). </w:t>
      </w:r>
      <w:proofErr w:type="spellStart"/>
      <w:r w:rsidRPr="00E11213">
        <w:rPr>
          <w:i/>
        </w:rPr>
        <w:t>Implicarea</w:t>
      </w:r>
      <w:proofErr w:type="spellEnd"/>
      <w:r w:rsidRPr="00E11213">
        <w:rPr>
          <w:i/>
        </w:rPr>
        <w:t xml:space="preserve"> </w:t>
      </w:r>
      <w:proofErr w:type="spellStart"/>
      <w:r w:rsidRPr="00E11213">
        <w:rPr>
          <w:i/>
        </w:rPr>
        <w:t>civică</w:t>
      </w:r>
      <w:proofErr w:type="spellEnd"/>
      <w:r w:rsidRPr="00E11213">
        <w:rPr>
          <w:i/>
        </w:rPr>
        <w:t xml:space="preserve"> </w:t>
      </w:r>
      <w:proofErr w:type="spellStart"/>
      <w:r w:rsidRPr="00E11213">
        <w:rPr>
          <w:i/>
        </w:rPr>
        <w:t>şi</w:t>
      </w:r>
      <w:proofErr w:type="spellEnd"/>
      <w:r w:rsidRPr="00E11213">
        <w:rPr>
          <w:i/>
        </w:rPr>
        <w:t xml:space="preserve"> </w:t>
      </w:r>
      <w:proofErr w:type="spellStart"/>
      <w:r w:rsidRPr="00E11213">
        <w:rPr>
          <w:i/>
        </w:rPr>
        <w:t>politică</w:t>
      </w:r>
      <w:proofErr w:type="spellEnd"/>
      <w:r w:rsidRPr="00E11213">
        <w:rPr>
          <w:i/>
        </w:rPr>
        <w:t xml:space="preserve"> a </w:t>
      </w:r>
      <w:proofErr w:type="spellStart"/>
      <w:r w:rsidRPr="00E11213">
        <w:rPr>
          <w:i/>
        </w:rPr>
        <w:t>tinerilor</w:t>
      </w:r>
      <w:proofErr w:type="spellEnd"/>
      <w:r>
        <w:t xml:space="preserve">. </w:t>
      </w:r>
      <w:proofErr w:type="gramStart"/>
      <w:r>
        <w:t>Constanţa:</w:t>
      </w:r>
      <w:proofErr w:type="gramEnd"/>
      <w:r>
        <w:t xml:space="preserve"> </w:t>
      </w:r>
      <w:proofErr w:type="spellStart"/>
      <w:r>
        <w:t>Editura</w:t>
      </w:r>
      <w:proofErr w:type="spellEnd"/>
      <w:r>
        <w:t xml:space="preserve"> </w:t>
      </w:r>
      <w:proofErr w:type="spellStart"/>
      <w:r>
        <w:t>Dobrogea</w:t>
      </w:r>
      <w:proofErr w:type="spellEnd"/>
      <w:r>
        <w:t xml:space="preserve">, </w:t>
      </w:r>
      <w:hyperlink r:id="rId2" w:history="1">
        <w:r w:rsidRPr="004701D8">
          <w:rPr>
            <w:rStyle w:val="Hyperlink"/>
          </w:rPr>
          <w:t>http://www.academia.edu/3845628/Implicarea_civica_i_politica_a_tinerilor</w:t>
        </w:r>
      </w:hyperlink>
      <w:r>
        <w:t xml:space="preserve"> </w:t>
      </w:r>
    </w:p>
  </w:footnote>
  <w:footnote w:id="8">
    <w:p w14:paraId="47CC59B6" w14:textId="6A01D7F3" w:rsidR="0055555F" w:rsidRPr="0055555F" w:rsidRDefault="0055555F" w:rsidP="0055555F">
      <w:pPr>
        <w:pStyle w:val="FootnoteText"/>
        <w:ind w:firstLine="0"/>
        <w:rPr>
          <w:lang w:val="ro-RO"/>
        </w:rPr>
      </w:pPr>
      <w:r>
        <w:rPr>
          <w:rStyle w:val="FootnoteReference"/>
        </w:rPr>
        <w:footnoteRef/>
      </w:r>
      <w:r w:rsidRPr="00581A02">
        <w:rPr>
          <w:lang w:val="en-GB"/>
        </w:rPr>
        <w:t xml:space="preserve"> PL4SD – Peer Learning for the Social Dimension. </w:t>
      </w:r>
      <w:hyperlink r:id="rId3" w:history="1">
        <w:r w:rsidRPr="00581A02">
          <w:rPr>
            <w:rStyle w:val="Hyperlink"/>
            <w:lang w:val="en-GB"/>
          </w:rPr>
          <w:t>https://www.eurashe.eu/projects/pl4sd/</w:t>
        </w:r>
      </w:hyperlink>
      <w:r w:rsidRPr="00581A02">
        <w:rPr>
          <w:lang w:val="en-GB"/>
        </w:rPr>
        <w:t xml:space="preserve"> </w:t>
      </w:r>
    </w:p>
  </w:footnote>
  <w:footnote w:id="9">
    <w:p w14:paraId="1CA47F1D" w14:textId="172C0070" w:rsidR="00892C8F" w:rsidRPr="00892C8F" w:rsidRDefault="00892C8F" w:rsidP="00892C8F">
      <w:pPr>
        <w:pStyle w:val="FootnoteText"/>
        <w:ind w:firstLine="0"/>
        <w:rPr>
          <w:lang w:val="ro-RO"/>
        </w:rPr>
      </w:pPr>
      <w:r>
        <w:rPr>
          <w:rStyle w:val="FootnoteReference"/>
        </w:rPr>
        <w:footnoteRef/>
      </w:r>
      <w:r w:rsidRPr="00581A02">
        <w:rPr>
          <w:lang w:val="en-GB"/>
        </w:rPr>
        <w:t xml:space="preserve"> </w:t>
      </w:r>
      <w:r w:rsidR="0011564C" w:rsidRPr="0011564C">
        <w:rPr>
          <w:lang w:val="ro-RO"/>
        </w:rPr>
        <w:t xml:space="preserve">Arneson, R. J. (1999). Against Rawlsian Equality of Opportunity. </w:t>
      </w:r>
      <w:r w:rsidR="0011564C" w:rsidRPr="0011564C">
        <w:rPr>
          <w:i/>
          <w:lang w:val="ro-RO"/>
        </w:rPr>
        <w:t>Philosophical Studies: An International Journal for Philosophy in the Analytic Tradition</w:t>
      </w:r>
      <w:r w:rsidR="0011564C" w:rsidRPr="0011564C">
        <w:rPr>
          <w:lang w:val="ro-RO"/>
        </w:rPr>
        <w:t xml:space="preserve">, 93(1), 77–112. </w:t>
      </w:r>
      <w:hyperlink r:id="rId4" w:history="1">
        <w:r w:rsidR="00C237F5" w:rsidRPr="004701D8">
          <w:rPr>
            <w:rStyle w:val="Hyperlink"/>
            <w:lang w:val="ro-RO"/>
          </w:rPr>
          <w:t>http://www.jstor.org/stable/4320904</w:t>
        </w:r>
      </w:hyperlink>
      <w:r w:rsidR="00C237F5">
        <w:rPr>
          <w:lang w:val="ro-R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9B8D" w14:textId="6162344B" w:rsidR="001805E3" w:rsidRDefault="001805E3" w:rsidP="001805E3">
    <w:pPr>
      <w:pStyle w:val="Header"/>
      <w:ind w:firstLine="0"/>
      <w:rPr>
        <w:lang w:val="ro-RO"/>
      </w:rPr>
    </w:pPr>
    <w:r>
      <w:rPr>
        <w:lang w:val="en-US"/>
      </w:rPr>
      <w:t>B</w:t>
    </w:r>
    <w:r>
      <w:rPr>
        <w:lang w:val="ro-RO"/>
      </w:rPr>
      <w:t>ărdiță Mihai-Andrei</w:t>
    </w:r>
  </w:p>
  <w:p w14:paraId="1548293A" w14:textId="0C62547D" w:rsidR="001805E3" w:rsidRPr="001805E3" w:rsidRDefault="001805E3" w:rsidP="001805E3">
    <w:pPr>
      <w:pStyle w:val="Header"/>
      <w:ind w:firstLine="0"/>
      <w:rPr>
        <w:lang w:val="ro-RO"/>
      </w:rPr>
    </w:pPr>
    <w:r>
      <w:rPr>
        <w:lang w:val="ro-RO"/>
      </w:rPr>
      <w:t>INFO ID, Grupa 1, Anul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7EE"/>
    <w:rsid w:val="00014ABB"/>
    <w:rsid w:val="00023B72"/>
    <w:rsid w:val="00057592"/>
    <w:rsid w:val="000B0EAC"/>
    <w:rsid w:val="000C60FE"/>
    <w:rsid w:val="00100DAC"/>
    <w:rsid w:val="00101D6C"/>
    <w:rsid w:val="0011564C"/>
    <w:rsid w:val="00121F8B"/>
    <w:rsid w:val="001805E3"/>
    <w:rsid w:val="001F194D"/>
    <w:rsid w:val="00265E31"/>
    <w:rsid w:val="002B173A"/>
    <w:rsid w:val="00343F44"/>
    <w:rsid w:val="003C4013"/>
    <w:rsid w:val="003D2C63"/>
    <w:rsid w:val="00435FB2"/>
    <w:rsid w:val="00482995"/>
    <w:rsid w:val="00483440"/>
    <w:rsid w:val="00496C2E"/>
    <w:rsid w:val="004D3DA9"/>
    <w:rsid w:val="00541B2D"/>
    <w:rsid w:val="0055555F"/>
    <w:rsid w:val="00562A76"/>
    <w:rsid w:val="00581A02"/>
    <w:rsid w:val="005B55D7"/>
    <w:rsid w:val="005B6D06"/>
    <w:rsid w:val="005C0792"/>
    <w:rsid w:val="005F0D4A"/>
    <w:rsid w:val="00656FD4"/>
    <w:rsid w:val="00670332"/>
    <w:rsid w:val="006A02C4"/>
    <w:rsid w:val="006A587B"/>
    <w:rsid w:val="006D54EA"/>
    <w:rsid w:val="006E6291"/>
    <w:rsid w:val="006E78C1"/>
    <w:rsid w:val="006F56C9"/>
    <w:rsid w:val="00750A72"/>
    <w:rsid w:val="00790DA5"/>
    <w:rsid w:val="007B74E4"/>
    <w:rsid w:val="00843FAF"/>
    <w:rsid w:val="00847237"/>
    <w:rsid w:val="00856A38"/>
    <w:rsid w:val="00892C8F"/>
    <w:rsid w:val="008D568A"/>
    <w:rsid w:val="00907DF6"/>
    <w:rsid w:val="009147EE"/>
    <w:rsid w:val="00947B71"/>
    <w:rsid w:val="0096641E"/>
    <w:rsid w:val="009B6534"/>
    <w:rsid w:val="00A824A8"/>
    <w:rsid w:val="00A968E2"/>
    <w:rsid w:val="00AC694C"/>
    <w:rsid w:val="00AD5BED"/>
    <w:rsid w:val="00B03470"/>
    <w:rsid w:val="00B35900"/>
    <w:rsid w:val="00B66017"/>
    <w:rsid w:val="00B950AF"/>
    <w:rsid w:val="00BF744C"/>
    <w:rsid w:val="00C237F5"/>
    <w:rsid w:val="00C267CB"/>
    <w:rsid w:val="00C505AE"/>
    <w:rsid w:val="00C82550"/>
    <w:rsid w:val="00C861BD"/>
    <w:rsid w:val="00CB7AC4"/>
    <w:rsid w:val="00D05FE5"/>
    <w:rsid w:val="00D243DF"/>
    <w:rsid w:val="00D86200"/>
    <w:rsid w:val="00DB7B2D"/>
    <w:rsid w:val="00DD29E1"/>
    <w:rsid w:val="00DD4C6D"/>
    <w:rsid w:val="00DE05C7"/>
    <w:rsid w:val="00E11213"/>
    <w:rsid w:val="00E50376"/>
    <w:rsid w:val="00E706AE"/>
    <w:rsid w:val="00E83E49"/>
    <w:rsid w:val="00EA0DAA"/>
    <w:rsid w:val="00EA6CB2"/>
    <w:rsid w:val="00EB1C23"/>
    <w:rsid w:val="00EE091C"/>
    <w:rsid w:val="00EF3264"/>
    <w:rsid w:val="00EF6E38"/>
    <w:rsid w:val="00F62A25"/>
    <w:rsid w:val="00F64BCE"/>
    <w:rsid w:val="00F8609A"/>
    <w:rsid w:val="00F9597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D9A90"/>
  <w15:chartTrackingRefBased/>
  <w15:docId w15:val="{62A66459-2AF7-4EAA-B3B5-354C301D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ko-KR" w:bidi="ar-SA"/>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DF6"/>
    <w:pPr>
      <w:spacing w:after="60" w:line="360"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907DF6"/>
    <w:pPr>
      <w:keepNext/>
      <w:keepLines/>
      <w:spacing w:before="240" w:after="480"/>
      <w:ind w:firstLine="0"/>
      <w:jc w:val="center"/>
      <w:outlineLvl w:val="0"/>
    </w:pPr>
    <w:rPr>
      <w:rFonts w:eastAsiaTheme="majorEastAsia"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703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332"/>
    <w:rPr>
      <w:sz w:val="20"/>
      <w:szCs w:val="20"/>
    </w:rPr>
  </w:style>
  <w:style w:type="character" w:styleId="FootnoteReference">
    <w:name w:val="footnote reference"/>
    <w:basedOn w:val="DefaultParagraphFont"/>
    <w:uiPriority w:val="99"/>
    <w:semiHidden/>
    <w:unhideWhenUsed/>
    <w:rsid w:val="00670332"/>
    <w:rPr>
      <w:vertAlign w:val="superscript"/>
    </w:rPr>
  </w:style>
  <w:style w:type="character" w:styleId="Hyperlink">
    <w:name w:val="Hyperlink"/>
    <w:basedOn w:val="DefaultParagraphFont"/>
    <w:uiPriority w:val="99"/>
    <w:unhideWhenUsed/>
    <w:rsid w:val="00670332"/>
    <w:rPr>
      <w:color w:val="0563C1" w:themeColor="hyperlink"/>
      <w:u w:val="single"/>
    </w:rPr>
  </w:style>
  <w:style w:type="character" w:customStyle="1" w:styleId="UnresolvedMention1">
    <w:name w:val="Unresolved Mention1"/>
    <w:basedOn w:val="DefaultParagraphFont"/>
    <w:uiPriority w:val="99"/>
    <w:semiHidden/>
    <w:unhideWhenUsed/>
    <w:rsid w:val="00670332"/>
    <w:rPr>
      <w:color w:val="605E5C"/>
      <w:shd w:val="clear" w:color="auto" w:fill="E1DFDD"/>
    </w:rPr>
  </w:style>
  <w:style w:type="character" w:customStyle="1" w:styleId="Heading1Char">
    <w:name w:val="Heading 1 Char"/>
    <w:basedOn w:val="DefaultParagraphFont"/>
    <w:link w:val="Heading1"/>
    <w:uiPriority w:val="9"/>
    <w:rsid w:val="00907DF6"/>
    <w:rPr>
      <w:rFonts w:ascii="Times New Roman" w:eastAsiaTheme="majorEastAsia" w:hAnsi="Times New Roman" w:cstheme="majorBidi"/>
      <w:b/>
      <w:sz w:val="36"/>
      <w:szCs w:val="32"/>
    </w:rPr>
  </w:style>
  <w:style w:type="paragraph" w:styleId="Header">
    <w:name w:val="header"/>
    <w:basedOn w:val="Normal"/>
    <w:link w:val="HeaderChar"/>
    <w:uiPriority w:val="99"/>
    <w:unhideWhenUsed/>
    <w:rsid w:val="006A02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A02C4"/>
    <w:rPr>
      <w:rFonts w:ascii="Times New Roman" w:hAnsi="Times New Roman"/>
      <w:sz w:val="24"/>
    </w:rPr>
  </w:style>
  <w:style w:type="paragraph" w:styleId="Footer">
    <w:name w:val="footer"/>
    <w:basedOn w:val="Normal"/>
    <w:link w:val="FooterChar"/>
    <w:uiPriority w:val="99"/>
    <w:unhideWhenUsed/>
    <w:rsid w:val="006A02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A02C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eurashe.eu/projects/pl4sd/" TargetMode="External"/><Relationship Id="rId2" Type="http://schemas.openxmlformats.org/officeDocument/2006/relationships/hyperlink" Target="http://www.academia.edu/3845628/Implicarea_civica_i_politica_a_tinerilor" TargetMode="External"/><Relationship Id="rId1" Type="http://schemas.openxmlformats.org/officeDocument/2006/relationships/hyperlink" Target="http://www.fes.ro/media/2014_news/Raport-FES-Tineri_in_Romania.pdf" TargetMode="External"/><Relationship Id="rId4" Type="http://schemas.openxmlformats.org/officeDocument/2006/relationships/hyperlink" Target="http://www.jstor.org/stable/43209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90E2D-F4F3-47D5-A8B2-DB478DF6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4</Pages>
  <Words>1454</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ANA BLAGA</dc:creator>
  <cp:keywords/>
  <dc:description/>
  <cp:lastModifiedBy>Andrei Bărdiță</cp:lastModifiedBy>
  <cp:revision>37</cp:revision>
  <dcterms:created xsi:type="dcterms:W3CDTF">2022-01-19T18:51:00Z</dcterms:created>
  <dcterms:modified xsi:type="dcterms:W3CDTF">2022-01-25T15:32:00Z</dcterms:modified>
</cp:coreProperties>
</file>