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EGE UNIVERSITY  /  BIOENGINEERING</w:t>
      </w:r>
    </w:p>
    <w:p>
      <w:pPr>
        <w:pStyle w:val="Title"/>
      </w:pPr>
      <w:r>
        <w:t>Student Handbook</w:t>
      </w:r>
    </w:p>
    <w:p>
      <w:pPr>
        <w:pStyle w:val="Subtitle"/>
      </w:pPr>
      <w:r>
        <w:t>A guided route from biological questions to defensible computational evidence</w:t>
      </w:r>
    </w:p>
    <w:p>
      <w:r>
        <w:t>Prepared for Yasin Kaymaz, PhD | Version 1.0 | 14 September 2026</w:t>
      </w:r>
    </w:p>
    <w:p>
      <w:r>
        <w:t>This is a teaching package, not a clinical, legal or institutional accreditation document. Scientific sources are identified by [Sxx] in the Course Source Register.</w:t>
      </w:r>
    </w:p>
    <w:p>
      <w:r>
        <w:br w:type="page"/>
      </w:r>
    </w:p>
    <w:p>
      <w:pPr>
        <w:pStyle w:val="Heading1"/>
      </w:pPr>
      <w:r>
        <w:t>Start here</w:t>
      </w:r>
    </w:p>
    <w:p>
      <w:r>
        <w:t>Your goal is not to become an expert programmer in one semester. Your goal is to understand what a biological dataset measures, run a small transparent analysis, detect common errors, and explain which conclusions the evidence supports. Reading, checking and explaining code come before writing complex code.</w:t>
      </w:r>
    </w:p>
    <w:tbl>
      <w:tblPr>
        <w:tblW w:type="auto" w:w="0"/>
        <w:jc w:val="center"/>
        <w:tblLayout w:type="fixed"/>
        <w:tblLook w:firstColumn="1" w:firstRow="1" w:lastColumn="0" w:lastRow="0" w:noHBand="0" w:noVBand="1" w:val="04A0"/>
      </w:tblPr>
      <w:tblGrid>
        <w:gridCol w:w="720"/>
        <w:gridCol w:w="8784"/>
      </w:tblGrid>
      <w:tr>
        <w:trPr>
          <w:tblHeader/>
          <w:cantSplit/>
        </w:trPr>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Step</w:t>
            </w:r>
          </w:p>
        </w:tc>
        <w:tc>
          <w:tcPr>
            <w:tcW w:type="dxa" w:w="8784"/>
            <w:shd w:fill="236BB5"/>
            <w:vAlign w:val="center"/>
            <w:tcMar>
              <w:top w:w="80" w:type="dxa"/>
              <w:left w:w="100" w:type="dxa"/>
              <w:bottom w:w="80" w:type="dxa"/>
              <w:right w:w="100" w:type="dxa"/>
            </w:tcMar>
          </w:tcPr>
          <w:p>
            <w:pPr>
              <w:spacing w:after="40" w:before="40" w:line="252" w:lineRule="auto"/>
            </w:pPr>
            <w:r>
              <w:rPr>
                <w:b/>
                <w:color w:val="FFFFFF"/>
                <w:sz w:val="18"/>
              </w:rPr>
              <w:t>What to do</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1</w:t>
            </w:r>
          </w:p>
        </w:tc>
        <w:tc>
          <w:tcPr>
            <w:tcW w:type="dxa" w:w="8784"/>
            <w:shd w:fill="EFF4FA"/>
            <w:vAlign w:val="center"/>
            <w:tcMar>
              <w:top w:w="80" w:type="dxa"/>
              <w:left w:w="100" w:type="dxa"/>
              <w:bottom w:w="80" w:type="dxa"/>
              <w:right w:w="100" w:type="dxa"/>
            </w:tcMar>
          </w:tcPr>
          <w:p>
            <w:pPr>
              <w:spacing w:after="40" w:before="40" w:line="252" w:lineRule="auto"/>
            </w:pPr>
            <w:r>
              <w:rPr>
                <w:sz w:val="18"/>
              </w:rPr>
              <w:t>Unzip the Student package and open index.html. Read this handbook and keep the Formula and Audit Sheet nearby.</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2</w:t>
            </w:r>
          </w:p>
        </w:tc>
        <w:tc>
          <w:tcPr>
            <w:tcW w:type="dxa" w:w="8784"/>
            <w:vAlign w:val="center"/>
            <w:tcMar>
              <w:top w:w="80" w:type="dxa"/>
              <w:left w:w="100" w:type="dxa"/>
              <w:bottom w:w="80" w:type="dxa"/>
              <w:right w:w="100" w:type="dxa"/>
            </w:tcMar>
          </w:tcPr>
          <w:p>
            <w:pPr>
              <w:spacing w:after="40" w:before="40" w:line="252" w:lineRule="auto"/>
            </w:pPr>
            <w:r>
              <w:rPr>
                <w:sz w:val="18"/>
              </w:rPr>
              <w:t>Complete the ungraded diagnostic and Week 00 bridge. Review the sections linked to any missed questions.</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3</w:t>
            </w:r>
          </w:p>
        </w:tc>
        <w:tc>
          <w:tcPr>
            <w:tcW w:type="dxa" w:w="8784"/>
            <w:shd w:fill="EFF4FA"/>
            <w:vAlign w:val="center"/>
            <w:tcMar>
              <w:top w:w="80" w:type="dxa"/>
              <w:left w:w="100" w:type="dxa"/>
              <w:bottom w:w="80" w:type="dxa"/>
              <w:right w:w="100" w:type="dxa"/>
            </w:tcMar>
          </w:tcPr>
          <w:p>
            <w:pPr>
              <w:spacing w:after="40" w:before="40" w:line="252" w:lineRule="auto"/>
            </w:pPr>
            <w:r>
              <w:rPr>
                <w:sz w:val="18"/>
              </w:rPr>
              <w:t>For each week, read the three outcomes, use the matching slides and open that week's notebook.</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4</w:t>
            </w:r>
          </w:p>
        </w:tc>
        <w:tc>
          <w:tcPr>
            <w:tcW w:type="dxa" w:w="8784"/>
            <w:vAlign w:val="center"/>
            <w:tcMar>
              <w:top w:w="80" w:type="dxa"/>
              <w:left w:w="100" w:type="dxa"/>
              <w:bottom w:w="80" w:type="dxa"/>
              <w:right w:w="100" w:type="dxa"/>
            </w:tcMar>
          </w:tcPr>
          <w:p>
            <w:pPr>
              <w:spacing w:after="40" w:before="40" w:line="252" w:lineRule="auto"/>
            </w:pPr>
            <w:r>
              <w:rPr>
                <w:sz w:val="18"/>
              </w:rPr>
              <w:t>Use a course pseudonym. Run the notebook from top to bottom, answer the three questions and perform one real check.</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5</w:t>
            </w:r>
          </w:p>
        </w:tc>
        <w:tc>
          <w:tcPr>
            <w:tcW w:type="dxa" w:w="8784"/>
            <w:shd w:fill="EFF4FA"/>
            <w:vAlign w:val="center"/>
            <w:tcMar>
              <w:top w:w="80" w:type="dxa"/>
              <w:left w:w="100" w:type="dxa"/>
              <w:bottom w:w="80" w:type="dxa"/>
              <w:right w:w="100" w:type="dxa"/>
            </w:tcMar>
          </w:tcPr>
          <w:p>
            <w:pPr>
              <w:spacing w:after="40" w:before="40" w:line="252" w:lineRule="auto"/>
            </w:pPr>
            <w:r>
              <w:rPr>
                <w:sz w:val="18"/>
              </w:rPr>
              <w:t>Restart and run all; save the notebook and JSON summary. Submit only the assignments announced in the grade table.</w:t>
            </w:r>
          </w:p>
        </w:tc>
      </w:tr>
    </w:tbl>
    <w:p/>
    <w:p>
      <w:r>
        <w:t>All notebooks include their own small datasets and require no download of biological data. Colab is the default browser option, but a local Python 3.9+ Jupyter environment or the equivalent paper task is acceptable. No paid AI account, GPU, command line, Git or local package installation is required for core work. Optional plots are skipped when matplotlib is unavailable.</w:t>
      </w:r>
    </w:p>
    <w:p>
      <w:pPr>
        <w:pStyle w:val="Heading2"/>
      </w:pPr>
      <w:r>
        <w:t>What is essential, and what is not</w:t>
      </w:r>
    </w:p>
    <w:tbl>
      <w:tblPr>
        <w:tblW w:type="auto" w:w="0"/>
        <w:jc w:val="center"/>
        <w:tblLayout w:type="fixed"/>
        <w:tblLook w:firstColumn="1" w:firstRow="1" w:lastColumn="0" w:lastRow="0" w:noHBand="0" w:noVBand="1" w:val="04A0"/>
      </w:tblPr>
      <w:tblGrid>
        <w:gridCol w:w="4752"/>
        <w:gridCol w:w="4752"/>
      </w:tblGrid>
      <w:tr>
        <w:trPr>
          <w:tblHeader/>
          <w:cantSplit/>
        </w:trPr>
        <w:tc>
          <w:tcPr>
            <w:tcW w:type="dxa" w:w="4752"/>
            <w:shd w:fill="236BB5"/>
            <w:vAlign w:val="center"/>
            <w:tcMar>
              <w:top w:w="80" w:type="dxa"/>
              <w:left w:w="100" w:type="dxa"/>
              <w:bottom w:w="80" w:type="dxa"/>
              <w:right w:w="100" w:type="dxa"/>
            </w:tcMar>
          </w:tcPr>
          <w:p>
            <w:pPr>
              <w:spacing w:after="40" w:before="40" w:line="252" w:lineRule="auto"/>
            </w:pPr>
            <w:r>
              <w:rPr>
                <w:b/>
                <w:color w:val="FFFFFF"/>
                <w:sz w:val="18"/>
              </w:rPr>
              <w:t>Essential for the course</w:t>
            </w:r>
          </w:p>
        </w:tc>
        <w:tc>
          <w:tcPr>
            <w:tcW w:type="dxa" w:w="4752"/>
            <w:shd w:fill="236BB5"/>
            <w:vAlign w:val="center"/>
            <w:tcMar>
              <w:top w:w="80" w:type="dxa"/>
              <w:left w:w="100" w:type="dxa"/>
              <w:bottom w:w="80" w:type="dxa"/>
              <w:right w:w="100" w:type="dxa"/>
            </w:tcMar>
          </w:tcPr>
          <w:p>
            <w:pPr>
              <w:spacing w:after="40" w:before="40" w:line="252" w:lineRule="auto"/>
            </w:pPr>
            <w:r>
              <w:rPr>
                <w:b/>
                <w:color w:val="FFFFFF"/>
                <w:sz w:val="18"/>
              </w:rPr>
              <w:t>Optional next steps</w:t>
            </w:r>
          </w:p>
        </w:tc>
      </w:tr>
      <w:tr>
        <w:trPr>
          <w:cantSplit/>
        </w:trPr>
        <w:tc>
          <w:tcPr>
            <w:tcW w:type="dxa" w:w="4752"/>
            <w:shd w:fill="EFF4FA"/>
            <w:vAlign w:val="center"/>
            <w:tcMar>
              <w:top w:w="80" w:type="dxa"/>
              <w:left w:w="100" w:type="dxa"/>
              <w:bottom w:w="80" w:type="dxa"/>
              <w:right w:w="100" w:type="dxa"/>
            </w:tcMar>
          </w:tcPr>
          <w:p>
            <w:pPr>
              <w:spacing w:after="40" w:before="40" w:line="252" w:lineRule="auto"/>
            </w:pPr>
            <w:r>
              <w:rPr>
                <w:sz w:val="18"/>
              </w:rPr>
              <w:t>Explain molecules, samples and the experimental unit.</w:t>
            </w:r>
          </w:p>
        </w:tc>
        <w:tc>
          <w:tcPr>
            <w:tcW w:type="dxa" w:w="4752"/>
            <w:shd w:fill="EFF4FA"/>
            <w:vAlign w:val="center"/>
            <w:tcMar>
              <w:top w:w="80" w:type="dxa"/>
              <w:left w:w="100" w:type="dxa"/>
              <w:bottom w:w="80" w:type="dxa"/>
              <w:right w:w="100" w:type="dxa"/>
            </w:tcMar>
          </w:tcPr>
          <w:p>
            <w:pPr>
              <w:spacing w:after="40" w:before="40" w:line="252" w:lineRule="auto"/>
            </w:pPr>
            <w:r>
              <w:rPr>
                <w:sz w:val="18"/>
              </w:rPr>
              <w:t>Training a neural network or writing a full bioinformatics pipeline.</w:t>
            </w:r>
          </w:p>
        </w:tc>
      </w:tr>
      <w:tr>
        <w:trPr>
          <w:cantSplit/>
        </w:trPr>
        <w:tc>
          <w:tcPr>
            <w:tcW w:type="dxa" w:w="4752"/>
            <w:vAlign w:val="center"/>
            <w:tcMar>
              <w:top w:w="80" w:type="dxa"/>
              <w:left w:w="100" w:type="dxa"/>
              <w:bottom w:w="80" w:type="dxa"/>
              <w:right w:w="100" w:type="dxa"/>
            </w:tcMar>
          </w:tcPr>
          <w:p>
            <w:pPr>
              <w:spacing w:after="40" w:before="40" w:line="252" w:lineRule="auto"/>
            </w:pPr>
            <w:r>
              <w:rPr>
                <w:sz w:val="18"/>
              </w:rPr>
              <w:t>Read simple functions, edit a parameter and check a result.</w:t>
            </w:r>
          </w:p>
        </w:tc>
        <w:tc>
          <w:tcPr>
            <w:tcW w:type="dxa" w:w="4752"/>
            <w:vAlign w:val="center"/>
            <w:tcMar>
              <w:top w:w="80" w:type="dxa"/>
              <w:left w:w="100" w:type="dxa"/>
              <w:bottom w:w="80" w:type="dxa"/>
              <w:right w:w="100" w:type="dxa"/>
            </w:tcMar>
          </w:tcPr>
          <w:p>
            <w:pPr>
              <w:spacing w:after="40" w:before="40" w:line="252" w:lineRule="auto"/>
            </w:pPr>
            <w:r>
              <w:rPr>
                <w:sz w:val="18"/>
              </w:rPr>
              <w:t>Deriving statistical models or implementing advanced alignment optimizations.</w:t>
            </w:r>
          </w:p>
        </w:tc>
      </w:tr>
      <w:tr>
        <w:trPr>
          <w:cantSplit/>
        </w:trPr>
        <w:tc>
          <w:tcPr>
            <w:tcW w:type="dxa" w:w="4752"/>
            <w:shd w:fill="EFF4FA"/>
            <w:vAlign w:val="center"/>
            <w:tcMar>
              <w:top w:w="80" w:type="dxa"/>
              <w:left w:w="100" w:type="dxa"/>
              <w:bottom w:w="80" w:type="dxa"/>
              <w:right w:w="100" w:type="dxa"/>
            </w:tcMar>
          </w:tcPr>
          <w:p>
            <w:pPr>
              <w:spacing w:after="40" w:before="40" w:line="252" w:lineRule="auto"/>
            </w:pPr>
            <w:r>
              <w:rPr>
                <w:sz w:val="18"/>
              </w:rPr>
              <w:t>Interpret small tables, basic ratios and model confidence.</w:t>
            </w:r>
          </w:p>
        </w:tc>
        <w:tc>
          <w:tcPr>
            <w:tcW w:type="dxa" w:w="4752"/>
            <w:shd w:fill="EFF4FA"/>
            <w:vAlign w:val="center"/>
            <w:tcMar>
              <w:top w:w="80" w:type="dxa"/>
              <w:left w:w="100" w:type="dxa"/>
              <w:bottom w:w="80" w:type="dxa"/>
              <w:right w:w="100" w:type="dxa"/>
            </w:tcMar>
          </w:tcPr>
          <w:p>
            <w:pPr>
              <w:spacing w:after="40" w:before="40" w:line="252" w:lineRule="auto"/>
            </w:pPr>
            <w:r>
              <w:rPr>
                <w:sz w:val="18"/>
              </w:rPr>
              <w:t>Running production-scale RNA-seq, single-cell integration or structure prediction.</w:t>
            </w:r>
          </w:p>
        </w:tc>
      </w:tr>
      <w:tr>
        <w:trPr>
          <w:cantSplit/>
        </w:trPr>
        <w:tc>
          <w:tcPr>
            <w:tcW w:type="dxa" w:w="4752"/>
            <w:vAlign w:val="center"/>
            <w:tcMar>
              <w:top w:w="80" w:type="dxa"/>
              <w:left w:w="100" w:type="dxa"/>
              <w:bottom w:w="80" w:type="dxa"/>
              <w:right w:w="100" w:type="dxa"/>
            </w:tcMar>
          </w:tcPr>
          <w:p>
            <w:pPr>
              <w:spacing w:after="40" w:before="40" w:line="252" w:lineRule="auto"/>
            </w:pPr>
            <w:r>
              <w:rPr>
                <w:sz w:val="18"/>
              </w:rPr>
              <w:t>Use sources, show uncertainty and protect sensitive data.</w:t>
            </w:r>
          </w:p>
        </w:tc>
        <w:tc>
          <w:tcPr>
            <w:tcW w:type="dxa" w:w="4752"/>
            <w:vAlign w:val="center"/>
            <w:tcMar>
              <w:top w:w="80" w:type="dxa"/>
              <w:left w:w="100" w:type="dxa"/>
              <w:bottom w:w="80" w:type="dxa"/>
              <w:right w:w="100" w:type="dxa"/>
            </w:tcMar>
          </w:tcPr>
          <w:p>
            <w:pPr>
              <w:spacing w:after="40" w:before="40" w:line="252" w:lineRule="auto"/>
            </w:pPr>
            <w:r>
              <w:rPr>
                <w:sz w:val="18"/>
              </w:rPr>
              <w:t>Clinical variant classification or authorization to release patient data.</w:t>
            </w:r>
          </w:p>
        </w:tc>
      </w:tr>
    </w:tbl>
    <w:p/>
    <w:p>
      <w:pPr>
        <w:pStyle w:val="Heading1"/>
      </w:pPr>
      <w:r>
        <w:t>Learning outcomes</w:t>
      </w:r>
    </w:p>
    <w:tbl>
      <w:tblPr>
        <w:tblW w:type="auto" w:w="0"/>
        <w:jc w:val="center"/>
        <w:tblLayout w:type="fixed"/>
        <w:tblLook w:firstColumn="1" w:firstRow="1" w:lastColumn="0" w:lastRow="0" w:noHBand="0" w:noVBand="1" w:val="04A0"/>
      </w:tblPr>
      <w:tblGrid>
        <w:gridCol w:w="720"/>
        <w:gridCol w:w="6120"/>
        <w:gridCol w:w="2664"/>
      </w:tblGrid>
      <w:tr>
        <w:trPr>
          <w:tblHeader/>
          <w:cantSplit/>
        </w:trPr>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ID</w:t>
            </w:r>
          </w:p>
        </w:tc>
        <w:tc>
          <w:tcPr>
            <w:tcW w:type="dxa" w:w="6120"/>
            <w:shd w:fill="236BB5"/>
            <w:vAlign w:val="center"/>
            <w:tcMar>
              <w:top w:w="80" w:type="dxa"/>
              <w:left w:w="100" w:type="dxa"/>
              <w:bottom w:w="80" w:type="dxa"/>
              <w:right w:w="100" w:type="dxa"/>
            </w:tcMar>
          </w:tcPr>
          <w:p>
            <w:pPr>
              <w:spacing w:after="40" w:before="40" w:line="252" w:lineRule="auto"/>
            </w:pPr>
            <w:r>
              <w:rPr>
                <w:b/>
                <w:color w:val="FFFFFF"/>
                <w:sz w:val="18"/>
              </w:rPr>
              <w:t>By the end you can...</w:t>
            </w:r>
          </w:p>
        </w:tc>
        <w:tc>
          <w:tcPr>
            <w:tcW w:type="dxa" w:w="2664"/>
            <w:shd w:fill="236BB5"/>
            <w:vAlign w:val="center"/>
            <w:tcMar>
              <w:top w:w="80" w:type="dxa"/>
              <w:left w:w="100" w:type="dxa"/>
              <w:bottom w:w="80" w:type="dxa"/>
              <w:right w:w="100" w:type="dxa"/>
            </w:tcMar>
          </w:tcPr>
          <w:p>
            <w:pPr>
              <w:spacing w:after="40" w:before="40" w:line="252" w:lineRule="auto"/>
            </w:pPr>
            <w:r>
              <w:rPr>
                <w:b/>
                <w:color w:val="FFFFFF"/>
                <w:sz w:val="18"/>
              </w:rPr>
              <w:t>Evidence</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LO1</w:t>
            </w:r>
          </w:p>
        </w:tc>
        <w:tc>
          <w:tcPr>
            <w:tcW w:type="dxa" w:w="6120"/>
            <w:shd w:fill="EFF4FA"/>
            <w:vAlign w:val="center"/>
            <w:tcMar>
              <w:top w:w="80" w:type="dxa"/>
              <w:left w:w="100" w:type="dxa"/>
              <w:bottom w:w="80" w:type="dxa"/>
              <w:right w:w="100" w:type="dxa"/>
            </w:tcMar>
          </w:tcPr>
          <w:p>
            <w:pPr>
              <w:spacing w:after="40" w:before="40" w:line="252" w:lineRule="auto"/>
            </w:pPr>
            <w:r>
              <w:rPr>
                <w:sz w:val="18"/>
              </w:rPr>
              <w:t>Connect biological questions to DNA, RNA, protein or functional measurements.</w:t>
            </w:r>
          </w:p>
        </w:tc>
        <w:tc>
          <w:tcPr>
            <w:tcW w:type="dxa" w:w="2664"/>
            <w:shd w:fill="EFF4FA"/>
            <w:vAlign w:val="center"/>
            <w:tcMar>
              <w:top w:w="80" w:type="dxa"/>
              <w:left w:w="100" w:type="dxa"/>
              <w:bottom w:w="80" w:type="dxa"/>
              <w:right w:w="100" w:type="dxa"/>
            </w:tcMar>
          </w:tcPr>
          <w:p>
            <w:pPr>
              <w:spacing w:after="40" w:before="40" w:line="252" w:lineRule="auto"/>
            </w:pPr>
            <w:r>
              <w:rPr>
                <w:sz w:val="18"/>
              </w:rPr>
              <w:t>D1; midterm; final</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LO2</w:t>
            </w:r>
          </w:p>
        </w:tc>
        <w:tc>
          <w:tcPr>
            <w:tcW w:type="dxa" w:w="6120"/>
            <w:vAlign w:val="center"/>
            <w:tcMar>
              <w:top w:w="80" w:type="dxa"/>
              <w:left w:w="100" w:type="dxa"/>
              <w:bottom w:w="80" w:type="dxa"/>
              <w:right w:w="100" w:type="dxa"/>
            </w:tcMar>
          </w:tcPr>
          <w:p>
            <w:pPr>
              <w:spacing w:after="40" w:before="40" w:line="252" w:lineRule="auto"/>
            </w:pPr>
            <w:r>
              <w:rPr>
                <w:sz w:val="18"/>
              </w:rPr>
              <w:t>Check sequence files, coordinates, reference versions and sample identities.</w:t>
            </w:r>
          </w:p>
        </w:tc>
        <w:tc>
          <w:tcPr>
            <w:tcW w:type="dxa" w:w="2664"/>
            <w:vAlign w:val="center"/>
            <w:tcMar>
              <w:top w:w="80" w:type="dxa"/>
              <w:left w:w="100" w:type="dxa"/>
              <w:bottom w:w="80" w:type="dxa"/>
              <w:right w:w="100" w:type="dxa"/>
            </w:tcMar>
          </w:tcPr>
          <w:p>
            <w:pPr>
              <w:spacing w:after="40" w:before="40" w:line="252" w:lineRule="auto"/>
            </w:pPr>
            <w:r>
              <w:rPr>
                <w:sz w:val="18"/>
              </w:rPr>
              <w:t>Weekly tasks; midterm; final</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LO3</w:t>
            </w:r>
          </w:p>
        </w:tc>
        <w:tc>
          <w:tcPr>
            <w:tcW w:type="dxa" w:w="6120"/>
            <w:shd w:fill="EFF4FA"/>
            <w:vAlign w:val="center"/>
            <w:tcMar>
              <w:top w:w="80" w:type="dxa"/>
              <w:left w:w="100" w:type="dxa"/>
              <w:bottom w:w="80" w:type="dxa"/>
              <w:right w:w="100" w:type="dxa"/>
            </w:tcMar>
          </w:tcPr>
          <w:p>
            <w:pPr>
              <w:spacing w:after="40" w:before="40" w:line="252" w:lineRule="auto"/>
            </w:pPr>
            <w:r>
              <w:rPr>
                <w:sz w:val="18"/>
              </w:rPr>
              <w:t>Run, explain and test a short provided Python analysis reproducibly.</w:t>
            </w:r>
          </w:p>
        </w:tc>
        <w:tc>
          <w:tcPr>
            <w:tcW w:type="dxa" w:w="2664"/>
            <w:shd w:fill="EFF4FA"/>
            <w:vAlign w:val="center"/>
            <w:tcMar>
              <w:top w:w="80" w:type="dxa"/>
              <w:left w:w="100" w:type="dxa"/>
              <w:bottom w:w="80" w:type="dxa"/>
              <w:right w:w="100" w:type="dxa"/>
            </w:tcMar>
          </w:tcPr>
          <w:p>
            <w:pPr>
              <w:spacing w:after="40" w:before="40" w:line="252" w:lineRule="auto"/>
            </w:pPr>
            <w:r>
              <w:rPr>
                <w:sz w:val="18"/>
              </w:rPr>
              <w:t>Weekly tasks; D1/D2; oral</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LO4</w:t>
            </w:r>
          </w:p>
        </w:tc>
        <w:tc>
          <w:tcPr>
            <w:tcW w:type="dxa" w:w="6120"/>
            <w:vAlign w:val="center"/>
            <w:tcMar>
              <w:top w:w="80" w:type="dxa"/>
              <w:left w:w="100" w:type="dxa"/>
              <w:bottom w:w="80" w:type="dxa"/>
              <w:right w:w="100" w:type="dxa"/>
            </w:tcMar>
          </w:tcPr>
          <w:p>
            <w:pPr>
              <w:spacing w:after="40" w:before="40" w:line="252" w:lineRule="auto"/>
            </w:pPr>
            <w:r>
              <w:rPr>
                <w:sz w:val="18"/>
              </w:rPr>
              <w:t>Justify replication, controls, normalization, uncertainty and multiplicity.</w:t>
            </w:r>
          </w:p>
        </w:tc>
        <w:tc>
          <w:tcPr>
            <w:tcW w:type="dxa" w:w="2664"/>
            <w:vAlign w:val="center"/>
            <w:tcMar>
              <w:top w:w="80" w:type="dxa"/>
              <w:left w:w="100" w:type="dxa"/>
              <w:bottom w:w="80" w:type="dxa"/>
              <w:right w:w="100" w:type="dxa"/>
            </w:tcMar>
          </w:tcPr>
          <w:p>
            <w:pPr>
              <w:spacing w:after="40" w:before="40" w:line="252" w:lineRule="auto"/>
            </w:pPr>
            <w:r>
              <w:rPr>
                <w:sz w:val="18"/>
              </w:rPr>
              <w:t>D1; midterm; final</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LO5</w:t>
            </w:r>
          </w:p>
        </w:tc>
        <w:tc>
          <w:tcPr>
            <w:tcW w:type="dxa" w:w="6120"/>
            <w:shd w:fill="EFF4FA"/>
            <w:vAlign w:val="center"/>
            <w:tcMar>
              <w:top w:w="80" w:type="dxa"/>
              <w:left w:w="100" w:type="dxa"/>
              <w:bottom w:w="80" w:type="dxa"/>
              <w:right w:w="100" w:type="dxa"/>
            </w:tcMar>
          </w:tcPr>
          <w:p>
            <w:pPr>
              <w:spacing w:after="40" w:before="40" w:line="252" w:lineRule="auto"/>
            </w:pPr>
            <w:r>
              <w:rPr>
                <w:sz w:val="18"/>
              </w:rPr>
              <w:t>Evaluate prediction claims using appropriate splits, baselines and evidence limits.</w:t>
            </w:r>
          </w:p>
        </w:tc>
        <w:tc>
          <w:tcPr>
            <w:tcW w:type="dxa" w:w="2664"/>
            <w:shd w:fill="EFF4FA"/>
            <w:vAlign w:val="center"/>
            <w:tcMar>
              <w:top w:w="80" w:type="dxa"/>
              <w:left w:w="100" w:type="dxa"/>
              <w:bottom w:w="80" w:type="dxa"/>
              <w:right w:w="100" w:type="dxa"/>
            </w:tcMar>
          </w:tcPr>
          <w:p>
            <w:pPr>
              <w:spacing w:after="40" w:before="40" w:line="252" w:lineRule="auto"/>
            </w:pPr>
            <w:r>
              <w:rPr>
                <w:sz w:val="18"/>
              </w:rPr>
              <w:t>D2; final</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LO6</w:t>
            </w:r>
          </w:p>
        </w:tc>
        <w:tc>
          <w:tcPr>
            <w:tcW w:type="dxa" w:w="6120"/>
            <w:vAlign w:val="center"/>
            <w:tcMar>
              <w:top w:w="80" w:type="dxa"/>
              <w:left w:w="100" w:type="dxa"/>
              <w:bottom w:w="80" w:type="dxa"/>
              <w:right w:w="100" w:type="dxa"/>
            </w:tcMar>
          </w:tcPr>
          <w:p>
            <w:pPr>
              <w:spacing w:after="40" w:before="40" w:line="252" w:lineRule="auto"/>
            </w:pPr>
            <w:r>
              <w:rPr>
                <w:sz w:val="18"/>
              </w:rPr>
              <w:t>Communicate limitations, sources, AI use and responsible data-sharing decisions.</w:t>
            </w:r>
          </w:p>
        </w:tc>
        <w:tc>
          <w:tcPr>
            <w:tcW w:type="dxa" w:w="2664"/>
            <w:vAlign w:val="center"/>
            <w:tcMar>
              <w:top w:w="80" w:type="dxa"/>
              <w:left w:w="100" w:type="dxa"/>
              <w:bottom w:w="80" w:type="dxa"/>
              <w:right w:w="100" w:type="dxa"/>
            </w:tcMar>
          </w:tcPr>
          <w:p>
            <w:pPr>
              <w:spacing w:after="40" w:before="40" w:line="252" w:lineRule="auto"/>
            </w:pPr>
            <w:r>
              <w:rPr>
                <w:sz w:val="18"/>
              </w:rPr>
              <w:t>D1/D2; oral; final</w:t>
            </w:r>
          </w:p>
        </w:tc>
      </w:tr>
    </w:tbl>
    <w:p/>
    <w:p>
      <w:pPr>
        <w:pStyle w:val="Heading1"/>
      </w:pPr>
      <w:r>
        <w:t>The molecular-biology bridge</w:t>
      </w:r>
    </w:p>
    <w:p>
      <w:r>
        <w:t>Use this section without embarrassment: the class does not assume fluent molecular genetics. The bridge slides provide schematic diagrams, and the diagnostic is not graded.</w:t>
      </w:r>
    </w:p>
    <w:p>
      <w:pPr>
        <w:pStyle w:val="Heading2"/>
      </w:pPr>
      <w:r>
        <w:t>Cells and molecular levels</w:t>
      </w:r>
    </w:p>
    <w:p>
      <w:r>
        <w:t>An organism contains cells; cells contain many molecules. DNA sequence stores heritable information, RNA can carry or perform functions, and proteins participate in structure, regulation and biochemical activity. DNA, RNA, protein abundance and enzyme activity are different measurement levels. More RNA reads do not automatically mean more active protein. [S01]</w:t>
      </w:r>
    </w:p>
    <w:p>
      <w:pPr>
        <w:pStyle w:val="Heading2"/>
      </w:pPr>
      <w:r>
        <w:t>Genes, transcripts and proteins</w:t>
      </w:r>
    </w:p>
    <w:p>
      <w:r>
        <w:t>A gene is a genomic region associated with a functional product. Some genes produce noncoding RNAs. A protein-coding gene can yield different transcripts through RNA processing, and those transcripts need not all yield the same protein product. Do not equate the number of genes, transcripts and proteins. [S01,S02]</w:t>
      </w:r>
    </w:p>
    <w:p>
      <w:pPr>
        <w:pStyle w:val="Heading2"/>
      </w:pPr>
      <w:r>
        <w:t>Exons, introns and translation</w:t>
      </w:r>
    </w:p>
    <w:p>
      <w:r>
        <w:t>A precursor RNA can contain exons and introns. Splicing removes introns and joins retained exon sequences. Not every exon base is part of a protein-coding region. Translation reads an appropriate coding RNA in codons; the reading frame and genetic code matter. An arbitrary genomic interval is not automatically a valid coding sequence. [S01]</w:t>
      </w:r>
    </w:p>
    <w:p>
      <w:pPr>
        <w:pStyle w:val="Heading2"/>
      </w:pPr>
      <w:r>
        <w:t>Samples, technical repeats and biological replication</w:t>
      </w:r>
    </w:p>
    <w:p>
      <w:r>
        <w:t>A sample is the material measured. An independent biological replicate is an independently sampled or assigned biological experimental unit relevant to the question, such as an independently prepared culture or donor. Repeating a measurement or sequencing an aliquot can assess technical variation without creating a new donor. A paired design can compare conditions within donors, but must retain the pairing. [S10,S12]</w:t>
      </w:r>
    </w:p>
    <w:p>
      <w:pPr>
        <w:pStyle w:val="Heading2"/>
      </w:pPr>
      <w:r>
        <w:t>Matrices and identifiers</w:t>
      </w:r>
    </w:p>
    <w:p>
      <w:r>
        <w:t>A matrix has rows and columns, but the meaning is determined by the file and software. A bulk count table may have genes in rows and samples in columns; AnnData conventionally places observations in rows and variables in columns. Always label both axes and match sample metadata using unique identifiers. Never attach treatment labels merely by the position of a row. [S10,S13]</w:t>
      </w:r>
    </w:p>
    <w:p>
      <w:pPr>
        <w:pStyle w:val="Heading2"/>
      </w:pPr>
      <w:r>
        <w:t>Fractions, units and logarithms</w:t>
      </w:r>
    </w:p>
    <w:p>
      <w:r>
        <w:t>A fraction has a numerator and a denominator. GC among known A/C/G/T bases is not the same as GC divided by every character when N is present. Keep bases, reads, read pairs, samples and donors distinct. log2(2)=1, log2(1)=0 and log2(0.5)=-1. A zero denominator needs an explicit decision; quietly adding a number can alter the question.</w:t>
      </w:r>
    </w:p>
    <w:p>
      <w:pPr>
        <w:pStyle w:val="Heading2"/>
      </w:pPr>
      <w:r>
        <w:t>A worked interpretation</w:t>
      </w:r>
    </w:p>
    <w:p>
      <w:r>
        <w:t>Suppose G1 has 10 raw reads in one sample and 20 in another. The raw ratio is 2, but a biological claim needs library-depth context, correct sample identity, replication and an appropriate analysis. The comparison does not yet show that protein or enzyme activity doubled. A useful answer states both the calculation and its limit. [S10]</w:t>
      </w:r>
    </w:p>
    <w:p>
      <w:pPr>
        <w:pStyle w:val="Heading1"/>
      </w:pPr>
      <w:r>
        <w:t>Your 14-week route</w:t>
      </w:r>
    </w:p>
    <w:tbl>
      <w:tblPr>
        <w:tblW w:type="auto" w:w="0"/>
        <w:jc w:val="center"/>
        <w:tblLayout w:type="fixed"/>
        <w:tblLook w:firstColumn="1" w:firstRow="1" w:lastColumn="0" w:lastRow="0" w:noHBand="0" w:noVBand="1" w:val="04A0"/>
      </w:tblPr>
      <w:tblGrid>
        <w:gridCol w:w="720"/>
        <w:gridCol w:w="6192"/>
        <w:gridCol w:w="2592"/>
      </w:tblGrid>
      <w:tr>
        <w:trPr>
          <w:tblHeader/>
          <w:cantSplit/>
        </w:trPr>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Week</w:t>
            </w:r>
          </w:p>
        </w:tc>
        <w:tc>
          <w:tcPr>
            <w:tcW w:type="dxa" w:w="6192"/>
            <w:shd w:fill="236BB5"/>
            <w:vAlign w:val="center"/>
            <w:tcMar>
              <w:top w:w="80" w:type="dxa"/>
              <w:left w:w="100" w:type="dxa"/>
              <w:bottom w:w="80" w:type="dxa"/>
              <w:right w:w="100" w:type="dxa"/>
            </w:tcMar>
          </w:tcPr>
          <w:p>
            <w:pPr>
              <w:spacing w:after="40" w:before="40" w:line="252" w:lineRule="auto"/>
            </w:pPr>
            <w:r>
              <w:rPr>
                <w:b/>
                <w:color w:val="FFFFFF"/>
                <w:sz w:val="18"/>
              </w:rPr>
              <w:t>Focus</w:t>
            </w:r>
          </w:p>
        </w:tc>
        <w:tc>
          <w:tcPr>
            <w:tcW w:type="dxa" w:w="2592"/>
            <w:shd w:fill="236BB5"/>
            <w:vAlign w:val="center"/>
            <w:tcMar>
              <w:top w:w="80" w:type="dxa"/>
              <w:left w:w="100" w:type="dxa"/>
              <w:bottom w:w="80" w:type="dxa"/>
              <w:right w:w="100" w:type="dxa"/>
            </w:tcMar>
          </w:tcPr>
          <w:p>
            <w:pPr>
              <w:spacing w:after="40" w:before="40" w:line="252" w:lineRule="auto"/>
            </w:pPr>
            <w:r>
              <w:rPr>
                <w:b/>
                <w:color w:val="FFFFFF"/>
                <w:sz w:val="18"/>
              </w:rPr>
              <w:t>Milestone</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W00</w:t>
            </w:r>
          </w:p>
        </w:tc>
        <w:tc>
          <w:tcPr>
            <w:tcW w:type="dxa" w:w="6192"/>
            <w:shd w:fill="EFF4FA"/>
            <w:vAlign w:val="center"/>
            <w:tcMar>
              <w:top w:w="80" w:type="dxa"/>
              <w:left w:w="100" w:type="dxa"/>
              <w:bottom w:w="80" w:type="dxa"/>
              <w:right w:w="100" w:type="dxa"/>
            </w:tcMar>
          </w:tcPr>
          <w:p>
            <w:pPr>
              <w:spacing w:after="40" w:before="40" w:line="252" w:lineRule="auto"/>
            </w:pPr>
            <w:r>
              <w:rPr>
                <w:sz w:val="18"/>
              </w:rPr>
              <w:t>The biology and numbers bridge</w:t>
            </w:r>
          </w:p>
        </w:tc>
        <w:tc>
          <w:tcPr>
            <w:tcW w:type="dxa" w:w="2592"/>
            <w:shd w:fill="EFF4FA"/>
            <w:vAlign w:val="center"/>
            <w:tcMar>
              <w:top w:w="80" w:type="dxa"/>
              <w:left w:w="100" w:type="dxa"/>
              <w:bottom w:w="80" w:type="dxa"/>
              <w:right w:w="100" w:type="dxa"/>
            </w:tcMar>
          </w:tcPr>
          <w:p>
            <w:pPr>
              <w:spacing w:after="40" w:before="40" w:line="252" w:lineRule="auto"/>
            </w:pPr>
            <w:r>
              <w:rPr>
                <w:sz w:val="18"/>
              </w:rPr>
              <w:t>Ungraded bridge + diagnostic</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W01</w:t>
            </w:r>
          </w:p>
        </w:tc>
        <w:tc>
          <w:tcPr>
            <w:tcW w:type="dxa" w:w="6192"/>
            <w:vAlign w:val="center"/>
            <w:tcMar>
              <w:top w:w="80" w:type="dxa"/>
              <w:left w:w="100" w:type="dxa"/>
              <w:bottom w:w="80" w:type="dxa"/>
              <w:right w:w="100" w:type="dxa"/>
            </w:tcMar>
          </w:tcPr>
          <w:p>
            <w:pPr>
              <w:spacing w:after="40" w:before="40" w:line="252" w:lineRule="auto"/>
            </w:pPr>
            <w:r>
              <w:rPr>
                <w:sz w:val="18"/>
              </w:rPr>
              <w:t>From a biological question to defensible evidence</w:t>
            </w:r>
          </w:p>
        </w:tc>
        <w:tc>
          <w:tcPr>
            <w:tcW w:type="dxa" w:w="2592"/>
            <w:vAlign w:val="center"/>
            <w:tcMar>
              <w:top w:w="80" w:type="dxa"/>
              <w:left w:w="100" w:type="dxa"/>
              <w:bottom w:w="80" w:type="dxa"/>
              <w:right w:w="100" w:type="dxa"/>
            </w:tcMar>
          </w:tcPr>
          <w:p>
            <w:pPr>
              <w:spacing w:after="40" w:before="40" w:line="252" w:lineRule="auto"/>
            </w:pPr>
            <w:r>
              <w:rPr>
                <w:sz w:val="18"/>
              </w:rPr>
              <w:t>A1 completion</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W02</w:t>
            </w:r>
          </w:p>
        </w:tc>
        <w:tc>
          <w:tcPr>
            <w:tcW w:type="dxa" w:w="6192"/>
            <w:shd w:fill="EFF4FA"/>
            <w:vAlign w:val="center"/>
            <w:tcMar>
              <w:top w:w="80" w:type="dxa"/>
              <w:left w:w="100" w:type="dxa"/>
              <w:bottom w:w="80" w:type="dxa"/>
              <w:right w:w="100" w:type="dxa"/>
            </w:tcMar>
          </w:tcPr>
          <w:p>
            <w:pPr>
              <w:spacing w:after="40" w:before="40" w:line="252" w:lineRule="auto"/>
            </w:pPr>
            <w:r>
              <w:rPr>
                <w:sz w:val="18"/>
              </w:rPr>
              <w:t>Files, coordinates and reference versions</w:t>
            </w:r>
          </w:p>
        </w:tc>
        <w:tc>
          <w:tcPr>
            <w:tcW w:type="dxa" w:w="2592"/>
            <w:shd w:fill="EFF4FA"/>
            <w:vAlign w:val="center"/>
            <w:tcMar>
              <w:top w:w="80" w:type="dxa"/>
              <w:left w:w="100" w:type="dxa"/>
              <w:bottom w:w="80" w:type="dxa"/>
              <w:right w:w="100" w:type="dxa"/>
            </w:tcMar>
          </w:tcPr>
          <w:p>
            <w:pPr>
              <w:spacing w:after="40" w:before="40" w:line="252" w:lineRule="auto"/>
            </w:pPr>
            <w:r>
              <w:rPr>
                <w:sz w:val="18"/>
              </w:rPr>
              <w:t>A1 completion</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W03</w:t>
            </w:r>
          </w:p>
        </w:tc>
        <w:tc>
          <w:tcPr>
            <w:tcW w:type="dxa" w:w="6192"/>
            <w:vAlign w:val="center"/>
            <w:tcMar>
              <w:top w:w="80" w:type="dxa"/>
              <w:left w:w="100" w:type="dxa"/>
              <w:bottom w:w="80" w:type="dxa"/>
              <w:right w:w="100" w:type="dxa"/>
            </w:tcMar>
          </w:tcPr>
          <w:p>
            <w:pPr>
              <w:spacing w:after="40" w:before="40" w:line="252" w:lineRule="auto"/>
            </w:pPr>
            <w:r>
              <w:rPr>
                <w:sz w:val="18"/>
              </w:rPr>
              <w:t>Reading and checking short Python programs</w:t>
            </w:r>
          </w:p>
        </w:tc>
        <w:tc>
          <w:tcPr>
            <w:tcW w:type="dxa" w:w="2592"/>
            <w:vAlign w:val="center"/>
            <w:tcMar>
              <w:top w:w="80" w:type="dxa"/>
              <w:left w:w="100" w:type="dxa"/>
              <w:bottom w:w="80" w:type="dxa"/>
              <w:right w:w="100" w:type="dxa"/>
            </w:tcMar>
          </w:tcPr>
          <w:p>
            <w:pPr>
              <w:spacing w:after="40" w:before="40" w:line="252" w:lineRule="auto"/>
            </w:pPr>
            <w:r>
              <w:rPr>
                <w:sz w:val="18"/>
              </w:rPr>
              <w:t>A1 completion</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W04</w:t>
            </w:r>
          </w:p>
        </w:tc>
        <w:tc>
          <w:tcPr>
            <w:tcW w:type="dxa" w:w="6192"/>
            <w:shd w:fill="EFF4FA"/>
            <w:vAlign w:val="center"/>
            <w:tcMar>
              <w:top w:w="80" w:type="dxa"/>
              <w:left w:w="100" w:type="dxa"/>
              <w:bottom w:w="80" w:type="dxa"/>
              <w:right w:w="100" w:type="dxa"/>
            </w:tcMar>
          </w:tcPr>
          <w:p>
            <w:pPr>
              <w:spacing w:after="40" w:before="40" w:line="252" w:lineRule="auto"/>
            </w:pPr>
            <w:r>
              <w:rPr>
                <w:sz w:val="18"/>
              </w:rPr>
              <w:t>Sequence similarity without overclaiming</w:t>
            </w:r>
          </w:p>
        </w:tc>
        <w:tc>
          <w:tcPr>
            <w:tcW w:type="dxa" w:w="2592"/>
            <w:shd w:fill="EFF4FA"/>
            <w:vAlign w:val="center"/>
            <w:tcMar>
              <w:top w:w="80" w:type="dxa"/>
              <w:left w:w="100" w:type="dxa"/>
              <w:bottom w:w="80" w:type="dxa"/>
              <w:right w:w="100" w:type="dxa"/>
            </w:tcMar>
          </w:tcPr>
          <w:p>
            <w:pPr>
              <w:spacing w:after="40" w:before="40" w:line="252" w:lineRule="auto"/>
            </w:pPr>
            <w:r>
              <w:rPr>
                <w:sz w:val="18"/>
              </w:rPr>
              <w:t>A1 completion</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W05</w:t>
            </w:r>
          </w:p>
        </w:tc>
        <w:tc>
          <w:tcPr>
            <w:tcW w:type="dxa" w:w="6192"/>
            <w:vAlign w:val="center"/>
            <w:tcMar>
              <w:top w:w="80" w:type="dxa"/>
              <w:left w:w="100" w:type="dxa"/>
              <w:bottom w:w="80" w:type="dxa"/>
              <w:right w:w="100" w:type="dxa"/>
            </w:tcMar>
          </w:tcPr>
          <w:p>
            <w:pPr>
              <w:spacing w:after="40" w:before="40" w:line="252" w:lineRule="auto"/>
            </w:pPr>
            <w:r>
              <w:rPr>
                <w:sz w:val="18"/>
              </w:rPr>
              <w:t>From sample to reads: designing an experiment</w:t>
            </w:r>
          </w:p>
        </w:tc>
        <w:tc>
          <w:tcPr>
            <w:tcW w:type="dxa" w:w="2592"/>
            <w:vAlign w:val="center"/>
            <w:tcMar>
              <w:top w:w="80" w:type="dxa"/>
              <w:left w:w="100" w:type="dxa"/>
              <w:bottom w:w="80" w:type="dxa"/>
              <w:right w:w="100" w:type="dxa"/>
            </w:tcMar>
          </w:tcPr>
          <w:p>
            <w:pPr>
              <w:spacing w:after="40" w:before="40" w:line="252" w:lineRule="auto"/>
            </w:pPr>
            <w:r>
              <w:rPr>
                <w:sz w:val="18"/>
              </w:rPr>
              <w:t>D1 launch</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W06</w:t>
            </w:r>
          </w:p>
        </w:tc>
        <w:tc>
          <w:tcPr>
            <w:tcW w:type="dxa" w:w="6192"/>
            <w:shd w:fill="EFF4FA"/>
            <w:vAlign w:val="center"/>
            <w:tcMar>
              <w:top w:w="80" w:type="dxa"/>
              <w:left w:w="100" w:type="dxa"/>
              <w:bottom w:w="80" w:type="dxa"/>
              <w:right w:w="100" w:type="dxa"/>
            </w:tcMar>
          </w:tcPr>
          <w:p>
            <w:pPr>
              <w:spacing w:after="40" w:before="40" w:line="252" w:lineRule="auto"/>
            </w:pPr>
            <w:r>
              <w:rPr>
                <w:sz w:val="18"/>
              </w:rPr>
              <w:t>Variation, independence and multiple testing</w:t>
            </w:r>
          </w:p>
        </w:tc>
        <w:tc>
          <w:tcPr>
            <w:tcW w:type="dxa" w:w="2592"/>
            <w:shd w:fill="EFF4FA"/>
            <w:vAlign w:val="center"/>
            <w:tcMar>
              <w:top w:w="80" w:type="dxa"/>
              <w:left w:w="100" w:type="dxa"/>
              <w:bottom w:w="80" w:type="dxa"/>
              <w:right w:w="100" w:type="dxa"/>
            </w:tcMar>
          </w:tcPr>
          <w:p>
            <w:pPr>
              <w:spacing w:after="40" w:before="40" w:line="252" w:lineRule="auto"/>
            </w:pPr>
            <w:r>
              <w:rPr>
                <w:sz w:val="18"/>
              </w:rPr>
              <w:t>A1 completion; D1 due</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W07</w:t>
            </w:r>
          </w:p>
        </w:tc>
        <w:tc>
          <w:tcPr>
            <w:tcW w:type="dxa" w:w="6192"/>
            <w:vAlign w:val="center"/>
            <w:tcMar>
              <w:top w:w="80" w:type="dxa"/>
              <w:left w:w="100" w:type="dxa"/>
              <w:bottom w:w="80" w:type="dxa"/>
              <w:right w:w="100" w:type="dxa"/>
            </w:tcMar>
          </w:tcPr>
          <w:p>
            <w:pPr>
              <w:spacing w:after="40" w:before="40" w:line="252" w:lineRule="auto"/>
            </w:pPr>
            <w:r>
              <w:rPr>
                <w:sz w:val="18"/>
              </w:rPr>
              <w:t>RNA counts, normalization and defensible expression claims</w:t>
            </w:r>
          </w:p>
        </w:tc>
        <w:tc>
          <w:tcPr>
            <w:tcW w:type="dxa" w:w="2592"/>
            <w:vAlign w:val="center"/>
            <w:tcMar>
              <w:top w:w="80" w:type="dxa"/>
              <w:left w:w="100" w:type="dxa"/>
              <w:bottom w:w="80" w:type="dxa"/>
              <w:right w:w="100" w:type="dxa"/>
            </w:tcMar>
          </w:tcPr>
          <w:p>
            <w:pPr>
              <w:spacing w:after="40" w:before="40" w:line="252" w:lineRule="auto"/>
            </w:pPr>
            <w:r>
              <w:rPr>
                <w:sz w:val="18"/>
              </w:rPr>
              <w:t>A1 completion</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W08</w:t>
            </w:r>
          </w:p>
        </w:tc>
        <w:tc>
          <w:tcPr>
            <w:tcW w:type="dxa" w:w="6192"/>
            <w:shd w:fill="EFF4FA"/>
            <w:vAlign w:val="center"/>
            <w:tcMar>
              <w:top w:w="80" w:type="dxa"/>
              <w:left w:w="100" w:type="dxa"/>
              <w:bottom w:w="80" w:type="dxa"/>
              <w:right w:w="100" w:type="dxa"/>
            </w:tcMar>
          </w:tcPr>
          <w:p>
            <w:pPr>
              <w:spacing w:after="40" w:before="40" w:line="252" w:lineRule="auto"/>
            </w:pPr>
            <w:r>
              <w:rPr>
                <w:sz w:val="18"/>
              </w:rPr>
              <w:t>Midterm review and the evidence audit</w:t>
            </w:r>
          </w:p>
        </w:tc>
        <w:tc>
          <w:tcPr>
            <w:tcW w:type="dxa" w:w="2592"/>
            <w:shd w:fill="EFF4FA"/>
            <w:vAlign w:val="center"/>
            <w:tcMar>
              <w:top w:w="80" w:type="dxa"/>
              <w:left w:w="100" w:type="dxa"/>
              <w:bottom w:w="80" w:type="dxa"/>
              <w:right w:w="100" w:type="dxa"/>
            </w:tcMar>
          </w:tcPr>
          <w:p>
            <w:pPr>
              <w:spacing w:after="40" w:before="40" w:line="252" w:lineRule="auto"/>
            </w:pPr>
            <w:r>
              <w:rPr>
                <w:sz w:val="18"/>
              </w:rPr>
              <w:t>A1 completion; midterm</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W09</w:t>
            </w:r>
          </w:p>
        </w:tc>
        <w:tc>
          <w:tcPr>
            <w:tcW w:type="dxa" w:w="6192"/>
            <w:vAlign w:val="center"/>
            <w:tcMar>
              <w:top w:w="80" w:type="dxa"/>
              <w:left w:w="100" w:type="dxa"/>
              <w:bottom w:w="80" w:type="dxa"/>
              <w:right w:w="100" w:type="dxa"/>
            </w:tcMar>
          </w:tcPr>
          <w:p>
            <w:pPr>
              <w:spacing w:after="40" w:before="40" w:line="252" w:lineRule="auto"/>
            </w:pPr>
            <w:r>
              <w:rPr>
                <w:sz w:val="18"/>
              </w:rPr>
              <w:t>Patterns, prediction and data leakage</w:t>
            </w:r>
          </w:p>
        </w:tc>
        <w:tc>
          <w:tcPr>
            <w:tcW w:type="dxa" w:w="2592"/>
            <w:vAlign w:val="center"/>
            <w:tcMar>
              <w:top w:w="80" w:type="dxa"/>
              <w:left w:w="100" w:type="dxa"/>
              <w:bottom w:w="80" w:type="dxa"/>
              <w:right w:w="100" w:type="dxa"/>
            </w:tcMar>
          </w:tcPr>
          <w:p>
            <w:pPr>
              <w:spacing w:after="40" w:before="40" w:line="252" w:lineRule="auto"/>
            </w:pPr>
            <w:r>
              <w:rPr>
                <w:sz w:val="18"/>
              </w:rPr>
              <w:t>D2 launch</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W10</w:t>
            </w:r>
          </w:p>
        </w:tc>
        <w:tc>
          <w:tcPr>
            <w:tcW w:type="dxa" w:w="6192"/>
            <w:shd w:fill="EFF4FA"/>
            <w:vAlign w:val="center"/>
            <w:tcMar>
              <w:top w:w="80" w:type="dxa"/>
              <w:left w:w="100" w:type="dxa"/>
              <w:bottom w:w="80" w:type="dxa"/>
              <w:right w:w="100" w:type="dxa"/>
            </w:tcMar>
          </w:tcPr>
          <w:p>
            <w:pPr>
              <w:spacing w:after="40" w:before="40" w:line="252" w:lineRule="auto"/>
            </w:pPr>
            <w:r>
              <w:rPr>
                <w:sz w:val="18"/>
              </w:rPr>
              <w:t>Single cells and biological replication</w:t>
            </w:r>
          </w:p>
        </w:tc>
        <w:tc>
          <w:tcPr>
            <w:tcW w:type="dxa" w:w="2592"/>
            <w:shd w:fill="EFF4FA"/>
            <w:vAlign w:val="center"/>
            <w:tcMar>
              <w:top w:w="80" w:type="dxa"/>
              <w:left w:w="100" w:type="dxa"/>
              <w:bottom w:w="80" w:type="dxa"/>
              <w:right w:w="100" w:type="dxa"/>
            </w:tcMar>
          </w:tcPr>
          <w:p>
            <w:pPr>
              <w:spacing w:after="40" w:before="40" w:line="252" w:lineRule="auto"/>
            </w:pPr>
            <w:r>
              <w:rPr>
                <w:sz w:val="18"/>
              </w:rPr>
              <w:t>A1 completion; D2 due; oral overflow slots</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W11</w:t>
            </w:r>
          </w:p>
        </w:tc>
        <w:tc>
          <w:tcPr>
            <w:tcW w:type="dxa" w:w="6192"/>
            <w:vAlign w:val="center"/>
            <w:tcMar>
              <w:top w:w="80" w:type="dxa"/>
              <w:left w:w="100" w:type="dxa"/>
              <w:bottom w:w="80" w:type="dxa"/>
              <w:right w:w="100" w:type="dxa"/>
            </w:tcMar>
          </w:tcPr>
          <w:p>
            <w:pPr>
              <w:spacing w:after="40" w:before="40" w:line="252" w:lineRule="auto"/>
            </w:pPr>
            <w:r>
              <w:rPr>
                <w:sz w:val="18"/>
              </w:rPr>
              <w:t>Biological AI and the honest model scorecard</w:t>
            </w:r>
          </w:p>
        </w:tc>
        <w:tc>
          <w:tcPr>
            <w:tcW w:type="dxa" w:w="2592"/>
            <w:vAlign w:val="center"/>
            <w:tcMar>
              <w:top w:w="80" w:type="dxa"/>
              <w:left w:w="100" w:type="dxa"/>
              <w:bottom w:w="80" w:type="dxa"/>
              <w:right w:w="100" w:type="dxa"/>
            </w:tcMar>
          </w:tcPr>
          <w:p>
            <w:pPr>
              <w:spacing w:after="40" w:before="40" w:line="252" w:lineRule="auto"/>
            </w:pPr>
            <w:r>
              <w:rPr>
                <w:sz w:val="18"/>
              </w:rPr>
              <w:t>Oral slots + practice</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W12</w:t>
            </w:r>
          </w:p>
        </w:tc>
        <w:tc>
          <w:tcPr>
            <w:tcW w:type="dxa" w:w="6192"/>
            <w:shd w:fill="EFF4FA"/>
            <w:vAlign w:val="center"/>
            <w:tcMar>
              <w:top w:w="80" w:type="dxa"/>
              <w:left w:w="100" w:type="dxa"/>
              <w:bottom w:w="80" w:type="dxa"/>
              <w:right w:w="100" w:type="dxa"/>
            </w:tcMar>
          </w:tcPr>
          <w:p>
            <w:pPr>
              <w:spacing w:after="40" w:before="40" w:line="252" w:lineRule="auto"/>
            </w:pPr>
            <w:r>
              <w:rPr>
                <w:sz w:val="18"/>
              </w:rPr>
              <w:t>Protein structures: prediction, confidence and function</w:t>
            </w:r>
          </w:p>
        </w:tc>
        <w:tc>
          <w:tcPr>
            <w:tcW w:type="dxa" w:w="2592"/>
            <w:shd w:fill="EFF4FA"/>
            <w:vAlign w:val="center"/>
            <w:tcMar>
              <w:top w:w="80" w:type="dxa"/>
              <w:left w:w="100" w:type="dxa"/>
              <w:bottom w:w="80" w:type="dxa"/>
              <w:right w:w="100" w:type="dxa"/>
            </w:tcMar>
          </w:tcPr>
          <w:p>
            <w:pPr>
              <w:spacing w:after="40" w:before="40" w:line="252" w:lineRule="auto"/>
            </w:pPr>
            <w:r>
              <w:rPr>
                <w:sz w:val="18"/>
              </w:rPr>
              <w:t>Oral slots + practice</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W13</w:t>
            </w:r>
          </w:p>
        </w:tc>
        <w:tc>
          <w:tcPr>
            <w:tcW w:type="dxa" w:w="6192"/>
            <w:vAlign w:val="center"/>
            <w:tcMar>
              <w:top w:w="80" w:type="dxa"/>
              <w:left w:w="100" w:type="dxa"/>
              <w:bottom w:w="80" w:type="dxa"/>
              <w:right w:w="100" w:type="dxa"/>
            </w:tcMar>
          </w:tcPr>
          <w:p>
            <w:pPr>
              <w:spacing w:after="40" w:before="40" w:line="252" w:lineRule="auto"/>
            </w:pPr>
            <w:r>
              <w:rPr>
                <w:sz w:val="18"/>
              </w:rPr>
              <w:t>From a variant to an evidence-based sentence</w:t>
            </w:r>
          </w:p>
        </w:tc>
        <w:tc>
          <w:tcPr>
            <w:tcW w:type="dxa" w:w="2592"/>
            <w:vAlign w:val="center"/>
            <w:tcMar>
              <w:top w:w="80" w:type="dxa"/>
              <w:left w:w="100" w:type="dxa"/>
              <w:bottom w:w="80" w:type="dxa"/>
              <w:right w:w="100" w:type="dxa"/>
            </w:tcMar>
          </w:tcPr>
          <w:p>
            <w:pPr>
              <w:spacing w:after="40" w:before="40" w:line="252" w:lineRule="auto"/>
            </w:pPr>
            <w:r>
              <w:rPr>
                <w:sz w:val="18"/>
              </w:rPr>
              <w:t>Oral slots + practice</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W14</w:t>
            </w:r>
          </w:p>
        </w:tc>
        <w:tc>
          <w:tcPr>
            <w:tcW w:type="dxa" w:w="6192"/>
            <w:shd w:fill="EFF4FA"/>
            <w:vAlign w:val="center"/>
            <w:tcMar>
              <w:top w:w="80" w:type="dxa"/>
              <w:left w:w="100" w:type="dxa"/>
              <w:bottom w:w="80" w:type="dxa"/>
              <w:right w:w="100" w:type="dxa"/>
            </w:tcMar>
          </w:tcPr>
          <w:p>
            <w:pPr>
              <w:spacing w:after="40" w:before="40" w:line="252" w:lineRule="auto"/>
            </w:pPr>
            <w:r>
              <w:rPr>
                <w:sz w:val="18"/>
              </w:rPr>
              <w:t>Responsible bioinformatics and your scientific record</w:t>
            </w:r>
          </w:p>
        </w:tc>
        <w:tc>
          <w:tcPr>
            <w:tcW w:type="dxa" w:w="2592"/>
            <w:shd w:fill="EFF4FA"/>
            <w:vAlign w:val="center"/>
            <w:tcMar>
              <w:top w:w="80" w:type="dxa"/>
              <w:left w:w="100" w:type="dxa"/>
              <w:bottom w:w="80" w:type="dxa"/>
              <w:right w:w="100" w:type="dxa"/>
            </w:tcMar>
          </w:tcPr>
          <w:p>
            <w:pPr>
              <w:spacing w:after="40" w:before="40" w:line="252" w:lineRule="auto"/>
            </w:pPr>
            <w:r>
              <w:rPr>
                <w:sz w:val="18"/>
              </w:rPr>
              <w:t>Oral slots + practice</w:t>
            </w:r>
          </w:p>
        </w:tc>
      </w:tr>
    </w:tbl>
    <w:p/>
    <w:p>
      <w:r>
        <w:t>The recurring biological case is a fictional treatment-response experiment. Synthetic examples make assumptions inspectable. The real pasilla excerpt is deliberately only two genes and is used for sample matching, not differential-expression discovery. Real publication and structure-record cards are attributed evidence summaries, not reproduced experiments. [S10,S24,S25]</w:t>
      </w:r>
    </w:p>
    <w:p>
      <w:pPr>
        <w:pStyle w:val="Heading1"/>
      </w:pPr>
      <w:r>
        <w:t>Assessment and workload</w:t>
      </w:r>
    </w:p>
    <w:tbl>
      <w:tblPr>
        <w:tblW w:type="auto" w:w="0"/>
        <w:jc w:val="center"/>
        <w:tblLayout w:type="fixed"/>
        <w:tblLook w:firstColumn="1" w:firstRow="1" w:lastColumn="0" w:lastRow="0" w:noHBand="0" w:noVBand="1" w:val="04A0"/>
      </w:tblPr>
      <w:tblGrid>
        <w:gridCol w:w="792"/>
        <w:gridCol w:w="4392"/>
        <w:gridCol w:w="792"/>
        <w:gridCol w:w="3528"/>
      </w:tblGrid>
      <w:tr>
        <w:trPr>
          <w:tblHeader/>
          <w:cantSplit/>
        </w:trPr>
        <w:tc>
          <w:tcPr>
            <w:tcW w:type="dxa" w:w="792"/>
            <w:shd w:fill="236BB5"/>
            <w:vAlign w:val="center"/>
            <w:tcMar>
              <w:top w:w="80" w:type="dxa"/>
              <w:left w:w="100" w:type="dxa"/>
              <w:bottom w:w="80" w:type="dxa"/>
              <w:right w:w="100" w:type="dxa"/>
            </w:tcMar>
          </w:tcPr>
          <w:p>
            <w:pPr>
              <w:spacing w:after="40" w:before="40" w:line="252" w:lineRule="auto"/>
            </w:pPr>
            <w:r>
              <w:rPr>
                <w:b/>
                <w:color w:val="FFFFFF"/>
                <w:sz w:val="18"/>
              </w:rPr>
              <w:t>Code</w:t>
            </w:r>
          </w:p>
        </w:tc>
        <w:tc>
          <w:tcPr>
            <w:tcW w:type="dxa" w:w="4392"/>
            <w:shd w:fill="236BB5"/>
            <w:vAlign w:val="center"/>
            <w:tcMar>
              <w:top w:w="80" w:type="dxa"/>
              <w:left w:w="100" w:type="dxa"/>
              <w:bottom w:w="80" w:type="dxa"/>
              <w:right w:w="100" w:type="dxa"/>
            </w:tcMar>
          </w:tcPr>
          <w:p>
            <w:pPr>
              <w:spacing w:after="40" w:before="40" w:line="252" w:lineRule="auto"/>
            </w:pPr>
            <w:r>
              <w:rPr>
                <w:b/>
                <w:color w:val="FFFFFF"/>
                <w:sz w:val="18"/>
              </w:rPr>
              <w:t>Task</w:t>
            </w:r>
          </w:p>
        </w:tc>
        <w:tc>
          <w:tcPr>
            <w:tcW w:type="dxa" w:w="792"/>
            <w:shd w:fill="236BB5"/>
            <w:vAlign w:val="center"/>
            <w:tcMar>
              <w:top w:w="80" w:type="dxa"/>
              <w:left w:w="100" w:type="dxa"/>
              <w:bottom w:w="80" w:type="dxa"/>
              <w:right w:w="100" w:type="dxa"/>
            </w:tcMar>
          </w:tcPr>
          <w:p>
            <w:pPr>
              <w:spacing w:after="40" w:before="40" w:line="252" w:lineRule="auto"/>
            </w:pPr>
            <w:r>
              <w:rPr>
                <w:b/>
                <w:color w:val="FFFFFF"/>
                <w:sz w:val="18"/>
              </w:rPr>
              <w:t>Weight</w:t>
            </w:r>
          </w:p>
        </w:tc>
        <w:tc>
          <w:tcPr>
            <w:tcW w:type="dxa" w:w="3528"/>
            <w:shd w:fill="236BB5"/>
            <w:vAlign w:val="center"/>
            <w:tcMar>
              <w:top w:w="80" w:type="dxa"/>
              <w:left w:w="100" w:type="dxa"/>
              <w:bottom w:w="80" w:type="dxa"/>
              <w:right w:w="100" w:type="dxa"/>
            </w:tcMar>
          </w:tcPr>
          <w:p>
            <w:pPr>
              <w:spacing w:after="40" w:before="40" w:line="252" w:lineRule="auto"/>
            </w:pPr>
            <w:r>
              <w:rPr>
                <w:b/>
                <w:color w:val="FFFFFF"/>
                <w:sz w:val="18"/>
              </w:rPr>
              <w:t>When</w:t>
            </w:r>
          </w:p>
        </w:tc>
      </w:tr>
      <w:tr>
        <w:trPr>
          <w:cantSplit/>
        </w:trPr>
        <w:tc>
          <w:tcPr>
            <w:tcW w:type="dxa" w:w="792"/>
            <w:shd w:fill="EFF4FA"/>
            <w:vAlign w:val="center"/>
            <w:tcMar>
              <w:top w:w="80" w:type="dxa"/>
              <w:left w:w="100" w:type="dxa"/>
              <w:bottom w:w="80" w:type="dxa"/>
              <w:right w:w="100" w:type="dxa"/>
            </w:tcMar>
          </w:tcPr>
          <w:p>
            <w:pPr>
              <w:spacing w:after="40" w:before="40" w:line="252" w:lineRule="auto"/>
            </w:pPr>
            <w:r>
              <w:rPr>
                <w:sz w:val="18"/>
              </w:rPr>
              <w:t>A1</w:t>
            </w:r>
          </w:p>
        </w:tc>
        <w:tc>
          <w:tcPr>
            <w:tcW w:type="dxa" w:w="4392"/>
            <w:shd w:fill="EFF4FA"/>
            <w:vAlign w:val="center"/>
            <w:tcMar>
              <w:top w:w="80" w:type="dxa"/>
              <w:left w:w="100" w:type="dxa"/>
              <w:bottom w:w="80" w:type="dxa"/>
              <w:right w:w="100" w:type="dxa"/>
            </w:tcMar>
          </w:tcPr>
          <w:p>
            <w:pPr>
              <w:spacing w:after="40" w:before="40" w:line="252" w:lineRule="auto"/>
            </w:pPr>
            <w:r>
              <w:rPr>
                <w:sz w:val="18"/>
              </w:rPr>
              <w:t>Weekly completion: best 6 of 8</w:t>
            </w:r>
          </w:p>
        </w:tc>
        <w:tc>
          <w:tcPr>
            <w:tcW w:type="dxa" w:w="792"/>
            <w:shd w:fill="EFF4FA"/>
            <w:vAlign w:val="center"/>
            <w:tcMar>
              <w:top w:w="80" w:type="dxa"/>
              <w:left w:w="100" w:type="dxa"/>
              <w:bottom w:w="80" w:type="dxa"/>
              <w:right w:w="100" w:type="dxa"/>
            </w:tcMar>
          </w:tcPr>
          <w:p>
            <w:pPr>
              <w:spacing w:after="40" w:before="40" w:line="252" w:lineRule="auto"/>
            </w:pPr>
            <w:r>
              <w:rPr>
                <w:sz w:val="18"/>
              </w:rPr>
              <w:t>8%</w:t>
            </w:r>
          </w:p>
        </w:tc>
        <w:tc>
          <w:tcPr>
            <w:tcW w:type="dxa" w:w="3528"/>
            <w:shd w:fill="EFF4FA"/>
            <w:vAlign w:val="center"/>
            <w:tcMar>
              <w:top w:w="80" w:type="dxa"/>
              <w:left w:w="100" w:type="dxa"/>
              <w:bottom w:w="80" w:type="dxa"/>
              <w:right w:w="100" w:type="dxa"/>
            </w:tcMar>
          </w:tcPr>
          <w:p>
            <w:pPr>
              <w:spacing w:after="40" w:before="40" w:line="252" w:lineRule="auto"/>
            </w:pPr>
            <w:r>
              <w:rPr>
                <w:sz w:val="18"/>
              </w:rPr>
              <w:t>W01,02,03,04,06,07,08,10</w:t>
            </w:r>
          </w:p>
        </w:tc>
      </w:tr>
      <w:tr>
        <w:trPr>
          <w:cantSplit/>
        </w:trPr>
        <w:tc>
          <w:tcPr>
            <w:tcW w:type="dxa" w:w="792"/>
            <w:vAlign w:val="center"/>
            <w:tcMar>
              <w:top w:w="80" w:type="dxa"/>
              <w:left w:w="100" w:type="dxa"/>
              <w:bottom w:w="80" w:type="dxa"/>
              <w:right w:w="100" w:type="dxa"/>
            </w:tcMar>
          </w:tcPr>
          <w:p>
            <w:pPr>
              <w:spacing w:after="40" w:before="40" w:line="252" w:lineRule="auto"/>
            </w:pPr>
            <w:r>
              <w:rPr>
                <w:sz w:val="18"/>
              </w:rPr>
              <w:t>A2a</w:t>
            </w:r>
          </w:p>
        </w:tc>
        <w:tc>
          <w:tcPr>
            <w:tcW w:type="dxa" w:w="4392"/>
            <w:vAlign w:val="center"/>
            <w:tcMar>
              <w:top w:w="80" w:type="dxa"/>
              <w:left w:w="100" w:type="dxa"/>
              <w:bottom w:w="80" w:type="dxa"/>
              <w:right w:w="100" w:type="dxa"/>
            </w:tcMar>
          </w:tcPr>
          <w:p>
            <w:pPr>
              <w:spacing w:after="40" w:before="40" w:line="252" w:lineRule="auto"/>
            </w:pPr>
            <w:r>
              <w:rPr>
                <w:sz w:val="18"/>
              </w:rPr>
              <w:t>D1: experimental-design project</w:t>
            </w:r>
          </w:p>
        </w:tc>
        <w:tc>
          <w:tcPr>
            <w:tcW w:type="dxa" w:w="792"/>
            <w:vAlign w:val="center"/>
            <w:tcMar>
              <w:top w:w="80" w:type="dxa"/>
              <w:left w:w="100" w:type="dxa"/>
              <w:bottom w:w="80" w:type="dxa"/>
              <w:right w:w="100" w:type="dxa"/>
            </w:tcMar>
          </w:tcPr>
          <w:p>
            <w:pPr>
              <w:spacing w:after="40" w:before="40" w:line="252" w:lineRule="auto"/>
            </w:pPr>
            <w:r>
              <w:rPr>
                <w:sz w:val="18"/>
              </w:rPr>
              <w:t>12%</w:t>
            </w:r>
          </w:p>
        </w:tc>
        <w:tc>
          <w:tcPr>
            <w:tcW w:type="dxa" w:w="3528"/>
            <w:vAlign w:val="center"/>
            <w:tcMar>
              <w:top w:w="80" w:type="dxa"/>
              <w:left w:w="100" w:type="dxa"/>
              <w:bottom w:w="80" w:type="dxa"/>
              <w:right w:w="100" w:type="dxa"/>
            </w:tcMar>
          </w:tcPr>
          <w:p>
            <w:pPr>
              <w:spacing w:after="40" w:before="40" w:line="252" w:lineRule="auto"/>
            </w:pPr>
            <w:r>
              <w:rPr>
                <w:sz w:val="18"/>
              </w:rPr>
              <w:t>Launch W05; due end W06</w:t>
            </w:r>
          </w:p>
        </w:tc>
      </w:tr>
      <w:tr>
        <w:trPr>
          <w:cantSplit/>
        </w:trPr>
        <w:tc>
          <w:tcPr>
            <w:tcW w:type="dxa" w:w="792"/>
            <w:shd w:fill="EFF4FA"/>
            <w:vAlign w:val="center"/>
            <w:tcMar>
              <w:top w:w="80" w:type="dxa"/>
              <w:left w:w="100" w:type="dxa"/>
              <w:bottom w:w="80" w:type="dxa"/>
              <w:right w:w="100" w:type="dxa"/>
            </w:tcMar>
          </w:tcPr>
          <w:p>
            <w:pPr>
              <w:spacing w:after="40" w:before="40" w:line="252" w:lineRule="auto"/>
            </w:pPr>
            <w:r>
              <w:rPr>
                <w:sz w:val="18"/>
              </w:rPr>
              <w:t>A2b</w:t>
            </w:r>
          </w:p>
        </w:tc>
        <w:tc>
          <w:tcPr>
            <w:tcW w:type="dxa" w:w="4392"/>
            <w:shd w:fill="EFF4FA"/>
            <w:vAlign w:val="center"/>
            <w:tcMar>
              <w:top w:w="80" w:type="dxa"/>
              <w:left w:w="100" w:type="dxa"/>
              <w:bottom w:w="80" w:type="dxa"/>
              <w:right w:w="100" w:type="dxa"/>
            </w:tcMar>
          </w:tcPr>
          <w:p>
            <w:pPr>
              <w:spacing w:after="40" w:before="40" w:line="252" w:lineRule="auto"/>
            </w:pPr>
            <w:r>
              <w:rPr>
                <w:sz w:val="18"/>
              </w:rPr>
              <w:t>D2: prediction-evaluation project</w:t>
            </w:r>
          </w:p>
        </w:tc>
        <w:tc>
          <w:tcPr>
            <w:tcW w:type="dxa" w:w="792"/>
            <w:shd w:fill="EFF4FA"/>
            <w:vAlign w:val="center"/>
            <w:tcMar>
              <w:top w:w="80" w:type="dxa"/>
              <w:left w:w="100" w:type="dxa"/>
              <w:bottom w:w="80" w:type="dxa"/>
              <w:right w:w="100" w:type="dxa"/>
            </w:tcMar>
          </w:tcPr>
          <w:p>
            <w:pPr>
              <w:spacing w:after="40" w:before="40" w:line="252" w:lineRule="auto"/>
            </w:pPr>
            <w:r>
              <w:rPr>
                <w:sz w:val="18"/>
              </w:rPr>
              <w:t>12%</w:t>
            </w:r>
          </w:p>
        </w:tc>
        <w:tc>
          <w:tcPr>
            <w:tcW w:type="dxa" w:w="3528"/>
            <w:shd w:fill="EFF4FA"/>
            <w:vAlign w:val="center"/>
            <w:tcMar>
              <w:top w:w="80" w:type="dxa"/>
              <w:left w:w="100" w:type="dxa"/>
              <w:bottom w:w="80" w:type="dxa"/>
              <w:right w:w="100" w:type="dxa"/>
            </w:tcMar>
          </w:tcPr>
          <w:p>
            <w:pPr>
              <w:spacing w:after="40" w:before="40" w:line="252" w:lineRule="auto"/>
            </w:pPr>
            <w:r>
              <w:rPr>
                <w:sz w:val="18"/>
              </w:rPr>
              <w:t>Launch W09; due end W10</w:t>
            </w:r>
          </w:p>
        </w:tc>
      </w:tr>
      <w:tr>
        <w:trPr>
          <w:cantSplit/>
        </w:trPr>
        <w:tc>
          <w:tcPr>
            <w:tcW w:type="dxa" w:w="792"/>
            <w:vAlign w:val="center"/>
            <w:tcMar>
              <w:top w:w="80" w:type="dxa"/>
              <w:left w:w="100" w:type="dxa"/>
              <w:bottom w:w="80" w:type="dxa"/>
              <w:right w:w="100" w:type="dxa"/>
            </w:tcMar>
          </w:tcPr>
          <w:p>
            <w:pPr>
              <w:spacing w:after="40" w:before="40" w:line="252" w:lineRule="auto"/>
            </w:pPr>
            <w:r>
              <w:rPr>
                <w:sz w:val="18"/>
              </w:rPr>
              <w:t>A3</w:t>
            </w:r>
          </w:p>
        </w:tc>
        <w:tc>
          <w:tcPr>
            <w:tcW w:type="dxa" w:w="4392"/>
            <w:vAlign w:val="center"/>
            <w:tcMar>
              <w:top w:w="80" w:type="dxa"/>
              <w:left w:w="100" w:type="dxa"/>
              <w:bottom w:w="80" w:type="dxa"/>
              <w:right w:w="100" w:type="dxa"/>
            </w:tcMar>
          </w:tcPr>
          <w:p>
            <w:pPr>
              <w:spacing w:after="40" w:before="40" w:line="252" w:lineRule="auto"/>
            </w:pPr>
            <w:r>
              <w:rPr>
                <w:sz w:val="18"/>
              </w:rPr>
              <w:t>Midterm, 60 minutes</w:t>
            </w:r>
          </w:p>
        </w:tc>
        <w:tc>
          <w:tcPr>
            <w:tcW w:type="dxa" w:w="792"/>
            <w:vAlign w:val="center"/>
            <w:tcMar>
              <w:top w:w="80" w:type="dxa"/>
              <w:left w:w="100" w:type="dxa"/>
              <w:bottom w:w="80" w:type="dxa"/>
              <w:right w:w="100" w:type="dxa"/>
            </w:tcMar>
          </w:tcPr>
          <w:p>
            <w:pPr>
              <w:spacing w:after="40" w:before="40" w:line="252" w:lineRule="auto"/>
            </w:pPr>
            <w:r>
              <w:rPr>
                <w:sz w:val="18"/>
              </w:rPr>
              <w:t>16%</w:t>
            </w:r>
          </w:p>
        </w:tc>
        <w:tc>
          <w:tcPr>
            <w:tcW w:type="dxa" w:w="3528"/>
            <w:vAlign w:val="center"/>
            <w:tcMar>
              <w:top w:w="80" w:type="dxa"/>
              <w:left w:w="100" w:type="dxa"/>
              <w:bottom w:w="80" w:type="dxa"/>
              <w:right w:w="100" w:type="dxa"/>
            </w:tcMar>
          </w:tcPr>
          <w:p>
            <w:pPr>
              <w:spacing w:after="40" w:before="40" w:line="252" w:lineRule="auto"/>
            </w:pPr>
            <w:r>
              <w:rPr>
                <w:sz w:val="18"/>
              </w:rPr>
              <w:t>W08, during lecture</w:t>
            </w:r>
          </w:p>
        </w:tc>
      </w:tr>
      <w:tr>
        <w:trPr>
          <w:cantSplit/>
        </w:trPr>
        <w:tc>
          <w:tcPr>
            <w:tcW w:type="dxa" w:w="792"/>
            <w:shd w:fill="EFF4FA"/>
            <w:vAlign w:val="center"/>
            <w:tcMar>
              <w:top w:w="80" w:type="dxa"/>
              <w:left w:w="100" w:type="dxa"/>
              <w:bottom w:w="80" w:type="dxa"/>
              <w:right w:w="100" w:type="dxa"/>
            </w:tcMar>
          </w:tcPr>
          <w:p>
            <w:pPr>
              <w:spacing w:after="40" w:before="40" w:line="252" w:lineRule="auto"/>
            </w:pPr>
            <w:r>
              <w:rPr>
                <w:sz w:val="18"/>
              </w:rPr>
              <w:t>B1</w:t>
            </w:r>
          </w:p>
        </w:tc>
        <w:tc>
          <w:tcPr>
            <w:tcW w:type="dxa" w:w="4392"/>
            <w:shd w:fill="EFF4FA"/>
            <w:vAlign w:val="center"/>
            <w:tcMar>
              <w:top w:w="80" w:type="dxa"/>
              <w:left w:w="100" w:type="dxa"/>
              <w:bottom w:w="80" w:type="dxa"/>
              <w:right w:w="100" w:type="dxa"/>
            </w:tcMar>
          </w:tcPr>
          <w:p>
            <w:pPr>
              <w:spacing w:after="40" w:before="40" w:line="252" w:lineRule="auto"/>
            </w:pPr>
            <w:r>
              <w:rPr>
                <w:sz w:val="18"/>
              </w:rPr>
              <w:t>Final, 75 minutes</w:t>
            </w:r>
          </w:p>
        </w:tc>
        <w:tc>
          <w:tcPr>
            <w:tcW w:type="dxa" w:w="792"/>
            <w:shd w:fill="EFF4FA"/>
            <w:vAlign w:val="center"/>
            <w:tcMar>
              <w:top w:w="80" w:type="dxa"/>
              <w:left w:w="100" w:type="dxa"/>
              <w:bottom w:w="80" w:type="dxa"/>
              <w:right w:w="100" w:type="dxa"/>
            </w:tcMar>
          </w:tcPr>
          <w:p>
            <w:pPr>
              <w:spacing w:after="40" w:before="40" w:line="252" w:lineRule="auto"/>
            </w:pPr>
            <w:r>
              <w:rPr>
                <w:sz w:val="18"/>
              </w:rPr>
              <w:t>34%</w:t>
            </w:r>
          </w:p>
        </w:tc>
        <w:tc>
          <w:tcPr>
            <w:tcW w:type="dxa" w:w="3528"/>
            <w:shd w:fill="EFF4FA"/>
            <w:vAlign w:val="center"/>
            <w:tcMar>
              <w:top w:w="80" w:type="dxa"/>
              <w:left w:w="100" w:type="dxa"/>
              <w:bottom w:w="80" w:type="dxa"/>
              <w:right w:w="100" w:type="dxa"/>
            </w:tcMar>
          </w:tcPr>
          <w:p>
            <w:pPr>
              <w:spacing w:after="40" w:before="40" w:line="252" w:lineRule="auto"/>
            </w:pPr>
            <w:r>
              <w:rPr>
                <w:sz w:val="18"/>
              </w:rPr>
              <w:t>After W14, scheduled exam period</w:t>
            </w:r>
          </w:p>
        </w:tc>
      </w:tr>
      <w:tr>
        <w:trPr>
          <w:cantSplit/>
        </w:trPr>
        <w:tc>
          <w:tcPr>
            <w:tcW w:type="dxa" w:w="792"/>
            <w:vAlign w:val="center"/>
            <w:tcMar>
              <w:top w:w="80" w:type="dxa"/>
              <w:left w:w="100" w:type="dxa"/>
              <w:bottom w:w="80" w:type="dxa"/>
              <w:right w:w="100" w:type="dxa"/>
            </w:tcMar>
          </w:tcPr>
          <w:p>
            <w:pPr>
              <w:spacing w:after="40" w:before="40" w:line="252" w:lineRule="auto"/>
            </w:pPr>
            <w:r>
              <w:rPr>
                <w:sz w:val="18"/>
              </w:rPr>
              <w:t>B2</w:t>
            </w:r>
          </w:p>
        </w:tc>
        <w:tc>
          <w:tcPr>
            <w:tcW w:type="dxa" w:w="4392"/>
            <w:vAlign w:val="center"/>
            <w:tcMar>
              <w:top w:w="80" w:type="dxa"/>
              <w:left w:w="100" w:type="dxa"/>
              <w:bottom w:w="80" w:type="dxa"/>
              <w:right w:w="100" w:type="dxa"/>
            </w:tcMar>
          </w:tcPr>
          <w:p>
            <w:pPr>
              <w:spacing w:after="40" w:before="40" w:line="252" w:lineRule="auto"/>
            </w:pPr>
            <w:r>
              <w:rPr>
                <w:sz w:val="18"/>
              </w:rPr>
              <w:t>Individual oral explanation</w:t>
            </w:r>
          </w:p>
        </w:tc>
        <w:tc>
          <w:tcPr>
            <w:tcW w:type="dxa" w:w="792"/>
            <w:vAlign w:val="center"/>
            <w:tcMar>
              <w:top w:w="80" w:type="dxa"/>
              <w:left w:w="100" w:type="dxa"/>
              <w:bottom w:w="80" w:type="dxa"/>
              <w:right w:w="100" w:type="dxa"/>
            </w:tcMar>
          </w:tcPr>
          <w:p>
            <w:pPr>
              <w:spacing w:after="40" w:before="40" w:line="252" w:lineRule="auto"/>
            </w:pPr>
            <w:r>
              <w:rPr>
                <w:sz w:val="18"/>
              </w:rPr>
              <w:t>18%</w:t>
            </w:r>
          </w:p>
        </w:tc>
        <w:tc>
          <w:tcPr>
            <w:tcW w:type="dxa" w:w="3528"/>
            <w:vAlign w:val="center"/>
            <w:tcMar>
              <w:top w:w="80" w:type="dxa"/>
              <w:left w:w="100" w:type="dxa"/>
              <w:bottom w:w="80" w:type="dxa"/>
              <w:right w:w="100" w:type="dxa"/>
            </w:tcMar>
          </w:tcPr>
          <w:p>
            <w:pPr>
              <w:spacing w:after="40" w:before="40" w:line="252" w:lineRule="auto"/>
            </w:pPr>
            <w:r>
              <w:rPr>
                <w:sz w:val="18"/>
              </w:rPr>
              <w:t>Scheduled W10-14; project D1 + GENOMES</w:t>
            </w:r>
          </w:p>
        </w:tc>
      </w:tr>
    </w:tbl>
    <w:p/>
    <w:p>
      <w:r>
        <w:t>Weights total 100%. D1 and D2 together are the two core projects; there is no additional compulsory large semester project. Optional extension work and the portfolio compilation do not add a hidden grade component.</w:t>
      </w:r>
    </w:p>
    <w:p>
      <w:pPr>
        <w:pStyle w:val="Heading2"/>
      </w:pPr>
      <w:r>
        <w:t>Weekly completion: how the 8% works</w:t>
      </w:r>
    </w:p>
    <w:p>
      <w:r>
        <w:t>Each of the eight listed weeks earns a completion credit of 1 for a good-faith submission containing a result or documented failure, substantive attempts at the questions, and an actual check. Incorrect scientific reasoning receives feedback rather than automatic loss of completion credit. An empty template or absent submission earns 0 after the announced correction opportunity. The best six credits count: A1 points = 8 x min(total credits,6)/6. Two missed or incomplete weeks can therefore be dropped. The lecturer sets actual calendar deadlines in the LMS.</w:t>
      </w:r>
    </w:p>
    <w:p>
      <w:pPr>
        <w:pStyle w:val="Heading2"/>
      </w:pPr>
      <w:r>
        <w:t>Project and exam rules</w:t>
      </w:r>
    </w:p>
    <w:p>
      <w:r>
        <w:t>Projects are individual submissions; discussion in pairs is encouraged, but each student must explain their own choices and acknowledge help. The D1 and D2 briefs specify deliverables and analytic rubrics. Timed exams use the supplied formula sheet and a basic calculator; no internet or AI tools are used during these exams unless a formally approved accommodation changes the arrangement. The individual oral check assesses explanation, not accent, typing speed or memory for software commands.</w:t>
      </w:r>
    </w:p>
    <w:p>
      <w:r>
        <w:t>The 18% oral assessment is an ordinary weighted component in this package. No automatic grade cap, fail rule or oral hurdle is imposed. Institutional rules for attendance, absence, resits, late work, pass thresholds and accommodations must be announced by the course instructor; this package does not invent them.</w:t>
      </w:r>
    </w:p>
    <w:p>
      <w:pPr>
        <w:pStyle w:val="Heading2"/>
      </w:pPr>
      <w:r>
        <w:t>Planning your time</w:t>
      </w:r>
    </w:p>
    <w:p>
      <w:r>
        <w:t>The source syllabus uses two 45-minute lecture blocks and one 45-minute studio per week. A planning estimate is 31.5 contact hours across 14 weeks, plus a 75-minute final. Allow about 1.5 hours weekly for preparation/review, 6 hours for each project, 1.5 hours for the bridge and about 8 hours of additional exam preparation: roughly 75 hours overall. These are planning assumptions, not measured workloads or a guarantee. Tell the instructor when a core task repeatedly exceeds the intended load. The inherited 3-ECTS administrative description must be checked against the official programme record.</w:t>
      </w:r>
    </w:p>
    <w:p>
      <w:pPr>
        <w:pStyle w:val="Heading1"/>
      </w:pPr>
      <w:r>
        <w:t>The weekly learning routine</w:t>
      </w:r>
    </w:p>
    <w:tbl>
      <w:tblPr>
        <w:tblW w:type="auto" w:w="0"/>
        <w:jc w:val="center"/>
        <w:tblLayout w:type="fixed"/>
        <w:tblLook w:firstColumn="1" w:firstRow="1" w:lastColumn="0" w:lastRow="0" w:noHBand="0" w:noVBand="1" w:val="04A0"/>
      </w:tblPr>
      <w:tblGrid>
        <w:gridCol w:w="1440"/>
        <w:gridCol w:w="4032"/>
        <w:gridCol w:w="4032"/>
      </w:tblGrid>
      <w:tr>
        <w:trPr>
          <w:tblHeader/>
          <w:cantSplit/>
        </w:trPr>
        <w:tc>
          <w:tcPr>
            <w:tcW w:type="dxa" w:w="1440"/>
            <w:shd w:fill="236BB5"/>
            <w:vAlign w:val="center"/>
            <w:tcMar>
              <w:top w:w="80" w:type="dxa"/>
              <w:left w:w="100" w:type="dxa"/>
              <w:bottom w:w="80" w:type="dxa"/>
              <w:right w:w="100" w:type="dxa"/>
            </w:tcMar>
          </w:tcPr>
          <w:p>
            <w:pPr>
              <w:spacing w:after="40" w:before="40" w:line="252" w:lineRule="auto"/>
            </w:pPr>
            <w:r>
              <w:rPr>
                <w:b/>
                <w:color w:val="FFFFFF"/>
                <w:sz w:val="18"/>
              </w:rPr>
              <w:t>Phase</w:t>
            </w:r>
          </w:p>
        </w:tc>
        <w:tc>
          <w:tcPr>
            <w:tcW w:type="dxa" w:w="4032"/>
            <w:shd w:fill="236BB5"/>
            <w:vAlign w:val="center"/>
            <w:tcMar>
              <w:top w:w="80" w:type="dxa"/>
              <w:left w:w="100" w:type="dxa"/>
              <w:bottom w:w="80" w:type="dxa"/>
              <w:right w:w="100" w:type="dxa"/>
            </w:tcMar>
          </w:tcPr>
          <w:p>
            <w:pPr>
              <w:spacing w:after="40" w:before="40" w:line="252" w:lineRule="auto"/>
            </w:pPr>
            <w:r>
              <w:rPr>
                <w:b/>
                <w:color w:val="FFFFFF"/>
                <w:sz w:val="18"/>
              </w:rPr>
              <w:t>Your action</w:t>
            </w:r>
          </w:p>
        </w:tc>
        <w:tc>
          <w:tcPr>
            <w:tcW w:type="dxa" w:w="4032"/>
            <w:shd w:fill="236BB5"/>
            <w:vAlign w:val="center"/>
            <w:tcMar>
              <w:top w:w="80" w:type="dxa"/>
              <w:left w:w="100" w:type="dxa"/>
              <w:bottom w:w="80" w:type="dxa"/>
              <w:right w:w="100" w:type="dxa"/>
            </w:tcMar>
          </w:tcPr>
          <w:p>
            <w:pPr>
              <w:spacing w:after="40" w:before="40" w:line="252" w:lineRule="auto"/>
            </w:pPr>
            <w:r>
              <w:rPr>
                <w:b/>
                <w:color w:val="FFFFFF"/>
                <w:sz w:val="18"/>
              </w:rPr>
              <w:t>Evidence to keep</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Predict</w:t>
            </w:r>
          </w:p>
        </w:tc>
        <w:tc>
          <w:tcPr>
            <w:tcW w:type="dxa" w:w="4032"/>
            <w:shd w:fill="EFF4FA"/>
            <w:vAlign w:val="center"/>
            <w:tcMar>
              <w:top w:w="80" w:type="dxa"/>
              <w:left w:w="100" w:type="dxa"/>
              <w:bottom w:w="80" w:type="dxa"/>
              <w:right w:w="100" w:type="dxa"/>
            </w:tcMar>
          </w:tcPr>
          <w:p>
            <w:pPr>
              <w:spacing w:after="40" w:before="40" w:line="252" w:lineRule="auto"/>
            </w:pPr>
            <w:r>
              <w:rPr>
                <w:sz w:val="18"/>
              </w:rPr>
              <w:t>Write what you expect before executing.</w:t>
            </w:r>
          </w:p>
        </w:tc>
        <w:tc>
          <w:tcPr>
            <w:tcW w:type="dxa" w:w="4032"/>
            <w:shd w:fill="EFF4FA"/>
            <w:vAlign w:val="center"/>
            <w:tcMar>
              <w:top w:w="80" w:type="dxa"/>
              <w:left w:w="100" w:type="dxa"/>
              <w:bottom w:w="80" w:type="dxa"/>
              <w:right w:w="100" w:type="dxa"/>
            </w:tcMar>
          </w:tcPr>
          <w:p>
            <w:pPr>
              <w:spacing w:after="40" w:before="40" w:line="252" w:lineRule="auto"/>
            </w:pPr>
            <w:r>
              <w:rPr>
                <w:sz w:val="18"/>
              </w:rPr>
              <w:t>A short sentence, not a guessed perfect answer.</w:t>
            </w:r>
          </w:p>
        </w:tc>
      </w:tr>
      <w:tr>
        <w:trPr>
          <w:cantSplit/>
        </w:trPr>
        <w:tc>
          <w:tcPr>
            <w:tcW w:type="dxa" w:w="1440"/>
            <w:vAlign w:val="center"/>
            <w:tcMar>
              <w:top w:w="80" w:type="dxa"/>
              <w:left w:w="100" w:type="dxa"/>
              <w:bottom w:w="80" w:type="dxa"/>
              <w:right w:w="100" w:type="dxa"/>
            </w:tcMar>
          </w:tcPr>
          <w:p>
            <w:pPr>
              <w:spacing w:after="40" w:before="40" w:line="252" w:lineRule="auto"/>
            </w:pPr>
            <w:r>
              <w:rPr>
                <w:sz w:val="18"/>
              </w:rPr>
              <w:t>Run</w:t>
            </w:r>
          </w:p>
        </w:tc>
        <w:tc>
          <w:tcPr>
            <w:tcW w:type="dxa" w:w="4032"/>
            <w:vAlign w:val="center"/>
            <w:tcMar>
              <w:top w:w="80" w:type="dxa"/>
              <w:left w:w="100" w:type="dxa"/>
              <w:bottom w:w="80" w:type="dxa"/>
              <w:right w:w="100" w:type="dxa"/>
            </w:tcMar>
          </w:tcPr>
          <w:p>
            <w:pPr>
              <w:spacing w:after="40" w:before="40" w:line="252" w:lineRule="auto"/>
            </w:pPr>
            <w:r>
              <w:rPr>
                <w:sz w:val="18"/>
              </w:rPr>
              <w:t>Execute cells in order; use the provided data.</w:t>
            </w:r>
          </w:p>
        </w:tc>
        <w:tc>
          <w:tcPr>
            <w:tcW w:type="dxa" w:w="4032"/>
            <w:vAlign w:val="center"/>
            <w:tcMar>
              <w:top w:w="80" w:type="dxa"/>
              <w:left w:w="100" w:type="dxa"/>
              <w:bottom w:w="80" w:type="dxa"/>
              <w:right w:w="100" w:type="dxa"/>
            </w:tcMar>
          </w:tcPr>
          <w:p>
            <w:pPr>
              <w:spacing w:after="40" w:before="40" w:line="252" w:lineRule="auto"/>
            </w:pPr>
            <w:r>
              <w:rPr>
                <w:sz w:val="18"/>
              </w:rPr>
              <w:t>Result table and relevant runtime information.</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Check</w:t>
            </w:r>
          </w:p>
        </w:tc>
        <w:tc>
          <w:tcPr>
            <w:tcW w:type="dxa" w:w="4032"/>
            <w:shd w:fill="EFF4FA"/>
            <w:vAlign w:val="center"/>
            <w:tcMar>
              <w:top w:w="80" w:type="dxa"/>
              <w:left w:w="100" w:type="dxa"/>
              <w:bottom w:w="80" w:type="dxa"/>
              <w:right w:w="100" w:type="dxa"/>
            </w:tcMar>
          </w:tcPr>
          <w:p>
            <w:pPr>
              <w:spacing w:after="40" w:before="40" w:line="252" w:lineRule="auto"/>
            </w:pPr>
            <w:r>
              <w:rPr>
                <w:sz w:val="18"/>
              </w:rPr>
              <w:t>Use a small known case, boundary condition or ID match.</w:t>
            </w:r>
          </w:p>
        </w:tc>
        <w:tc>
          <w:tcPr>
            <w:tcW w:type="dxa" w:w="4032"/>
            <w:shd w:fill="EFF4FA"/>
            <w:vAlign w:val="center"/>
            <w:tcMar>
              <w:top w:w="80" w:type="dxa"/>
              <w:left w:w="100" w:type="dxa"/>
              <w:bottom w:w="80" w:type="dxa"/>
              <w:right w:w="100" w:type="dxa"/>
            </w:tcMar>
          </w:tcPr>
          <w:p>
            <w:pPr>
              <w:spacing w:after="40" w:before="40" w:line="252" w:lineRule="auto"/>
            </w:pPr>
            <w:r>
              <w:rPr>
                <w:sz w:val="18"/>
              </w:rPr>
              <w:t>What was checked and whether it agreed.</w:t>
            </w:r>
          </w:p>
        </w:tc>
      </w:tr>
      <w:tr>
        <w:trPr>
          <w:cantSplit/>
        </w:trPr>
        <w:tc>
          <w:tcPr>
            <w:tcW w:type="dxa" w:w="1440"/>
            <w:vAlign w:val="center"/>
            <w:tcMar>
              <w:top w:w="80" w:type="dxa"/>
              <w:left w:w="100" w:type="dxa"/>
              <w:bottom w:w="80" w:type="dxa"/>
              <w:right w:w="100" w:type="dxa"/>
            </w:tcMar>
          </w:tcPr>
          <w:p>
            <w:pPr>
              <w:spacing w:after="40" w:before="40" w:line="252" w:lineRule="auto"/>
            </w:pPr>
            <w:r>
              <w:rPr>
                <w:sz w:val="18"/>
              </w:rPr>
              <w:t>Explain</w:t>
            </w:r>
          </w:p>
        </w:tc>
        <w:tc>
          <w:tcPr>
            <w:tcW w:type="dxa" w:w="4032"/>
            <w:vAlign w:val="center"/>
            <w:tcMar>
              <w:top w:w="80" w:type="dxa"/>
              <w:left w:w="100" w:type="dxa"/>
              <w:bottom w:w="80" w:type="dxa"/>
              <w:right w:w="100" w:type="dxa"/>
            </w:tcMar>
          </w:tcPr>
          <w:p>
            <w:pPr>
              <w:spacing w:after="40" w:before="40" w:line="252" w:lineRule="auto"/>
            </w:pPr>
            <w:r>
              <w:rPr>
                <w:sz w:val="18"/>
              </w:rPr>
              <w:t>Name the result, independent unit and limitation.</w:t>
            </w:r>
          </w:p>
        </w:tc>
        <w:tc>
          <w:tcPr>
            <w:tcW w:type="dxa" w:w="4032"/>
            <w:vAlign w:val="center"/>
            <w:tcMar>
              <w:top w:w="80" w:type="dxa"/>
              <w:left w:w="100" w:type="dxa"/>
              <w:bottom w:w="80" w:type="dxa"/>
              <w:right w:w="100" w:type="dxa"/>
            </w:tcMar>
          </w:tcPr>
          <w:p>
            <w:pPr>
              <w:spacing w:after="40" w:before="40" w:line="252" w:lineRule="auto"/>
            </w:pPr>
            <w:r>
              <w:rPr>
                <w:sz w:val="18"/>
              </w:rPr>
              <w:t>Three responses in your own words.</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Save</w:t>
            </w:r>
          </w:p>
        </w:tc>
        <w:tc>
          <w:tcPr>
            <w:tcW w:type="dxa" w:w="4032"/>
            <w:shd w:fill="EFF4FA"/>
            <w:vAlign w:val="center"/>
            <w:tcMar>
              <w:top w:w="80" w:type="dxa"/>
              <w:left w:w="100" w:type="dxa"/>
              <w:bottom w:w="80" w:type="dxa"/>
              <w:right w:w="100" w:type="dxa"/>
            </w:tcMar>
          </w:tcPr>
          <w:p>
            <w:pPr>
              <w:spacing w:after="40" w:before="40" w:line="252" w:lineRule="auto"/>
            </w:pPr>
            <w:r>
              <w:rPr>
                <w:sz w:val="18"/>
              </w:rPr>
              <w:t>Restart/run all, export notebook and JSON.</w:t>
            </w:r>
          </w:p>
        </w:tc>
        <w:tc>
          <w:tcPr>
            <w:tcW w:type="dxa" w:w="4032"/>
            <w:shd w:fill="EFF4FA"/>
            <w:vAlign w:val="center"/>
            <w:tcMar>
              <w:top w:w="80" w:type="dxa"/>
              <w:left w:w="100" w:type="dxa"/>
              <w:bottom w:w="80" w:type="dxa"/>
              <w:right w:w="100" w:type="dxa"/>
            </w:tcMar>
          </w:tcPr>
          <w:p>
            <w:pPr>
              <w:spacing w:after="40" w:before="40" w:line="252" w:lineRule="auto"/>
            </w:pPr>
            <w:r>
              <w:rPr>
                <w:sz w:val="18"/>
              </w:rPr>
              <w:t>A reproducible artifact; retain the version submitted.</w:t>
            </w:r>
          </w:p>
        </w:tc>
      </w:tr>
    </w:tbl>
    <w:p/>
    <w:p>
      <w:pPr>
        <w:pStyle w:val="Heading1"/>
      </w:pPr>
      <w:r>
        <w:t>GENOMES: the audit you can reuse</w:t>
      </w:r>
    </w:p>
    <w:p>
      <w:r>
        <w:t>GENOMES is a course-created mnemonic, not a published validation standard. It is a reminder to inspect common failure points. A reasoned N/A is better than invented metadata.</w:t>
      </w:r>
    </w:p>
    <w:tbl>
      <w:tblPr>
        <w:tblW w:type="auto" w:w="0"/>
        <w:jc w:val="center"/>
        <w:tblLayout w:type="fixed"/>
        <w:tblLook w:firstColumn="1" w:firstRow="1" w:lastColumn="0" w:lastRow="0" w:noHBand="0" w:noVBand="1" w:val="04A0"/>
      </w:tblPr>
      <w:tblGrid>
        <w:gridCol w:w="720"/>
        <w:gridCol w:w="3024"/>
        <w:gridCol w:w="5760"/>
      </w:tblGrid>
      <w:tr>
        <w:trPr>
          <w:tblHeader/>
          <w:cantSplit/>
        </w:trPr>
        <w:tc>
          <w:tcPr>
            <w:tcW w:type="dxa" w:w="720"/>
            <w:shd w:fill="236BB5"/>
            <w:vAlign w:val="center"/>
            <w:tcMar>
              <w:top w:w="80" w:type="dxa"/>
              <w:left w:w="100" w:type="dxa"/>
              <w:bottom w:w="80" w:type="dxa"/>
              <w:right w:w="100" w:type="dxa"/>
            </w:tcMar>
          </w:tcPr>
          <w:p>
            <w:pPr>
              <w:spacing w:after="40" w:before="40" w:line="252" w:lineRule="auto"/>
            </w:pPr>
            <w:r>
              <w:rPr>
                <w:b/>
                <w:color w:val="FFFFFF"/>
                <w:sz w:val="18"/>
              </w:rPr>
              <w:t>Letter</w:t>
            </w:r>
          </w:p>
        </w:tc>
        <w:tc>
          <w:tcPr>
            <w:tcW w:type="dxa" w:w="3024"/>
            <w:shd w:fill="236BB5"/>
            <w:vAlign w:val="center"/>
            <w:tcMar>
              <w:top w:w="80" w:type="dxa"/>
              <w:left w:w="100" w:type="dxa"/>
              <w:bottom w:w="80" w:type="dxa"/>
              <w:right w:w="100" w:type="dxa"/>
            </w:tcMar>
          </w:tcPr>
          <w:p>
            <w:pPr>
              <w:spacing w:after="40" w:before="40" w:line="252" w:lineRule="auto"/>
            </w:pPr>
            <w:r>
              <w:rPr>
                <w:b/>
                <w:color w:val="FFFFFF"/>
                <w:sz w:val="18"/>
              </w:rPr>
              <w:t>Check</w:t>
            </w:r>
          </w:p>
        </w:tc>
        <w:tc>
          <w:tcPr>
            <w:tcW w:type="dxa" w:w="5760"/>
            <w:shd w:fill="236BB5"/>
            <w:vAlign w:val="center"/>
            <w:tcMar>
              <w:top w:w="80" w:type="dxa"/>
              <w:left w:w="100" w:type="dxa"/>
              <w:bottom w:w="80" w:type="dxa"/>
              <w:right w:w="100" w:type="dxa"/>
            </w:tcMar>
          </w:tcPr>
          <w:p>
            <w:pPr>
              <w:spacing w:after="40" w:before="40" w:line="252" w:lineRule="auto"/>
            </w:pPr>
            <w:r>
              <w:rPr>
                <w:b/>
                <w:color w:val="FFFFFF"/>
                <w:sz w:val="18"/>
              </w:rPr>
              <w:t>What to record</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G</w:t>
            </w:r>
          </w:p>
        </w:tc>
        <w:tc>
          <w:tcPr>
            <w:tcW w:type="dxa" w:w="3024"/>
            <w:shd w:fill="EFF4FA"/>
            <w:vAlign w:val="center"/>
            <w:tcMar>
              <w:top w:w="80" w:type="dxa"/>
              <w:left w:w="100" w:type="dxa"/>
              <w:bottom w:w="80" w:type="dxa"/>
              <w:right w:w="100" w:type="dxa"/>
            </w:tcMar>
          </w:tcPr>
          <w:p>
            <w:pPr>
              <w:spacing w:after="40" w:before="40" w:line="252" w:lineRule="auto"/>
            </w:pPr>
            <w:r>
              <w:rPr>
                <w:sz w:val="18"/>
              </w:rPr>
              <w:t>Genome / reference / annotation</w:t>
            </w:r>
          </w:p>
        </w:tc>
        <w:tc>
          <w:tcPr>
            <w:tcW w:type="dxa" w:w="5760"/>
            <w:shd w:fill="EFF4FA"/>
            <w:vAlign w:val="center"/>
            <w:tcMar>
              <w:top w:w="80" w:type="dxa"/>
              <w:left w:w="100" w:type="dxa"/>
              <w:bottom w:w="80" w:type="dxa"/>
              <w:right w:w="100" w:type="dxa"/>
            </w:tcMar>
          </w:tcPr>
          <w:p>
            <w:pPr>
              <w:spacing w:after="40" w:before="40" w:line="252" w:lineRule="auto"/>
            </w:pPr>
            <w:r>
              <w:rPr>
                <w:sz w:val="18"/>
              </w:rPr>
              <w:t>Accession and version, or justified N/A for non-sequence work.</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E</w:t>
            </w:r>
          </w:p>
        </w:tc>
        <w:tc>
          <w:tcPr>
            <w:tcW w:type="dxa" w:w="3024"/>
            <w:vAlign w:val="center"/>
            <w:tcMar>
              <w:top w:w="80" w:type="dxa"/>
              <w:left w:w="100" w:type="dxa"/>
              <w:bottom w:w="80" w:type="dxa"/>
              <w:right w:w="100" w:type="dxa"/>
            </w:tcMar>
          </w:tcPr>
          <w:p>
            <w:pPr>
              <w:spacing w:after="40" w:before="40" w:line="252" w:lineRule="auto"/>
            </w:pPr>
            <w:r>
              <w:rPr>
                <w:sz w:val="18"/>
              </w:rPr>
              <w:t>Environment / execution</w:t>
            </w:r>
          </w:p>
        </w:tc>
        <w:tc>
          <w:tcPr>
            <w:tcW w:type="dxa" w:w="5760"/>
            <w:vAlign w:val="center"/>
            <w:tcMar>
              <w:top w:w="80" w:type="dxa"/>
              <w:left w:w="100" w:type="dxa"/>
              <w:bottom w:w="80" w:type="dxa"/>
              <w:right w:w="100" w:type="dxa"/>
            </w:tcMar>
          </w:tcPr>
          <w:p>
            <w:pPr>
              <w:spacing w:after="40" w:before="40" w:line="252" w:lineRule="auto"/>
            </w:pPr>
            <w:r>
              <w:rPr>
                <w:sz w:val="18"/>
              </w:rPr>
              <w:t>Python/runtime version, seed, analysis steps and clean rerun.</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N</w:t>
            </w:r>
          </w:p>
        </w:tc>
        <w:tc>
          <w:tcPr>
            <w:tcW w:type="dxa" w:w="3024"/>
            <w:shd w:fill="EFF4FA"/>
            <w:vAlign w:val="center"/>
            <w:tcMar>
              <w:top w:w="80" w:type="dxa"/>
              <w:left w:w="100" w:type="dxa"/>
              <w:bottom w:w="80" w:type="dxa"/>
              <w:right w:w="100" w:type="dxa"/>
            </w:tcMar>
          </w:tcPr>
          <w:p>
            <w:pPr>
              <w:spacing w:after="40" w:before="40" w:line="252" w:lineRule="auto"/>
            </w:pPr>
            <w:r>
              <w:rPr>
                <w:sz w:val="18"/>
              </w:rPr>
              <w:t>Numbers / dimensions</w:t>
            </w:r>
          </w:p>
        </w:tc>
        <w:tc>
          <w:tcPr>
            <w:tcW w:type="dxa" w:w="5760"/>
            <w:shd w:fill="EFF4FA"/>
            <w:vAlign w:val="center"/>
            <w:tcMar>
              <w:top w:w="80" w:type="dxa"/>
              <w:left w:w="100" w:type="dxa"/>
              <w:bottom w:w="80" w:type="dxa"/>
              <w:right w:w="100" w:type="dxa"/>
            </w:tcMar>
          </w:tcPr>
          <w:p>
            <w:pPr>
              <w:spacing w:after="40" w:before="40" w:line="252" w:lineRule="auto"/>
            </w:pPr>
            <w:r>
              <w:rPr>
                <w:sz w:val="18"/>
              </w:rPr>
              <w:t>Rows, columns, samples, features and expected sizes.</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O</w:t>
            </w:r>
          </w:p>
        </w:tc>
        <w:tc>
          <w:tcPr>
            <w:tcW w:type="dxa" w:w="3024"/>
            <w:vAlign w:val="center"/>
            <w:tcMar>
              <w:top w:w="80" w:type="dxa"/>
              <w:left w:w="100" w:type="dxa"/>
              <w:bottom w:w="80" w:type="dxa"/>
              <w:right w:w="100" w:type="dxa"/>
            </w:tcMar>
          </w:tcPr>
          <w:p>
            <w:pPr>
              <w:spacing w:after="40" w:before="40" w:line="252" w:lineRule="auto"/>
            </w:pPr>
            <w:r>
              <w:rPr>
                <w:sz w:val="18"/>
              </w:rPr>
              <w:t>Offsets / coordinates</w:t>
            </w:r>
          </w:p>
        </w:tc>
        <w:tc>
          <w:tcPr>
            <w:tcW w:type="dxa" w:w="5760"/>
            <w:vAlign w:val="center"/>
            <w:tcMar>
              <w:top w:w="80" w:type="dxa"/>
              <w:left w:w="100" w:type="dxa"/>
              <w:bottom w:w="80" w:type="dxa"/>
              <w:right w:w="100" w:type="dxa"/>
            </w:tcMar>
          </w:tcPr>
          <w:p>
            <w:pPr>
              <w:spacing w:after="40" w:before="40" w:line="252" w:lineRule="auto"/>
            </w:pPr>
            <w:r>
              <w:rPr>
                <w:sz w:val="18"/>
              </w:rPr>
              <w:t>0- or 1-based; inclusive or half-open; units and conversions.</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M</w:t>
            </w:r>
          </w:p>
        </w:tc>
        <w:tc>
          <w:tcPr>
            <w:tcW w:type="dxa" w:w="3024"/>
            <w:shd w:fill="EFF4FA"/>
            <w:vAlign w:val="center"/>
            <w:tcMar>
              <w:top w:w="80" w:type="dxa"/>
              <w:left w:w="100" w:type="dxa"/>
              <w:bottom w:w="80" w:type="dxa"/>
              <w:right w:w="100" w:type="dxa"/>
            </w:tcMar>
          </w:tcPr>
          <w:p>
            <w:pPr>
              <w:spacing w:after="40" w:before="40" w:line="252" w:lineRule="auto"/>
            </w:pPr>
            <w:r>
              <w:rPr>
                <w:sz w:val="18"/>
              </w:rPr>
              <w:t>Multiplicity / experimental unit</w:t>
            </w:r>
          </w:p>
        </w:tc>
        <w:tc>
          <w:tcPr>
            <w:tcW w:type="dxa" w:w="5760"/>
            <w:shd w:fill="EFF4FA"/>
            <w:vAlign w:val="center"/>
            <w:tcMar>
              <w:top w:w="80" w:type="dxa"/>
              <w:left w:w="100" w:type="dxa"/>
              <w:bottom w:w="80" w:type="dxa"/>
              <w:right w:w="100" w:type="dxa"/>
            </w:tcMar>
          </w:tcPr>
          <w:p>
            <w:pPr>
              <w:spacing w:after="40" w:before="40" w:line="252" w:lineRule="auto"/>
            </w:pPr>
            <w:r>
              <w:rPr>
                <w:sz w:val="18"/>
              </w:rPr>
              <w:t>What is independent? What family of tests was considered?</w:t>
            </w:r>
          </w:p>
        </w:tc>
      </w:tr>
      <w:tr>
        <w:trPr>
          <w:cantSplit/>
        </w:trPr>
        <w:tc>
          <w:tcPr>
            <w:tcW w:type="dxa" w:w="720"/>
            <w:vAlign w:val="center"/>
            <w:tcMar>
              <w:top w:w="80" w:type="dxa"/>
              <w:left w:w="100" w:type="dxa"/>
              <w:bottom w:w="80" w:type="dxa"/>
              <w:right w:w="100" w:type="dxa"/>
            </w:tcMar>
          </w:tcPr>
          <w:p>
            <w:pPr>
              <w:spacing w:after="40" w:before="40" w:line="252" w:lineRule="auto"/>
            </w:pPr>
            <w:r>
              <w:rPr>
                <w:sz w:val="18"/>
              </w:rPr>
              <w:t>E</w:t>
            </w:r>
          </w:p>
        </w:tc>
        <w:tc>
          <w:tcPr>
            <w:tcW w:type="dxa" w:w="3024"/>
            <w:vAlign w:val="center"/>
            <w:tcMar>
              <w:top w:w="80" w:type="dxa"/>
              <w:left w:w="100" w:type="dxa"/>
              <w:bottom w:w="80" w:type="dxa"/>
              <w:right w:w="100" w:type="dxa"/>
            </w:tcMar>
          </w:tcPr>
          <w:p>
            <w:pPr>
              <w:spacing w:after="40" w:before="40" w:line="252" w:lineRule="auto"/>
            </w:pPr>
            <w:r>
              <w:rPr>
                <w:sz w:val="18"/>
              </w:rPr>
              <w:t>Entities / identifiers</w:t>
            </w:r>
          </w:p>
        </w:tc>
        <w:tc>
          <w:tcPr>
            <w:tcW w:type="dxa" w:w="5760"/>
            <w:vAlign w:val="center"/>
            <w:tcMar>
              <w:top w:w="80" w:type="dxa"/>
              <w:left w:w="100" w:type="dxa"/>
              <w:bottom w:w="80" w:type="dxa"/>
              <w:right w:w="100" w:type="dxa"/>
            </w:tcMar>
          </w:tcPr>
          <w:p>
            <w:pPr>
              <w:spacing w:after="40" w:before="40" w:line="252" w:lineRule="auto"/>
            </w:pPr>
            <w:r>
              <w:rPr>
                <w:sz w:val="18"/>
              </w:rPr>
              <w:t>Unique IDs, sample matching, transcript versions, no silent row-order assumptions.</w:t>
            </w:r>
          </w:p>
        </w:tc>
      </w:tr>
      <w:tr>
        <w:trPr>
          <w:cantSplit/>
        </w:trPr>
        <w:tc>
          <w:tcPr>
            <w:tcW w:type="dxa" w:w="720"/>
            <w:shd w:fill="EFF4FA"/>
            <w:vAlign w:val="center"/>
            <w:tcMar>
              <w:top w:w="80" w:type="dxa"/>
              <w:left w:w="100" w:type="dxa"/>
              <w:bottom w:w="80" w:type="dxa"/>
              <w:right w:w="100" w:type="dxa"/>
            </w:tcMar>
          </w:tcPr>
          <w:p>
            <w:pPr>
              <w:spacing w:after="40" w:before="40" w:line="252" w:lineRule="auto"/>
            </w:pPr>
            <w:r>
              <w:rPr>
                <w:sz w:val="18"/>
              </w:rPr>
              <w:t>S</w:t>
            </w:r>
          </w:p>
        </w:tc>
        <w:tc>
          <w:tcPr>
            <w:tcW w:type="dxa" w:w="3024"/>
            <w:shd w:fill="EFF4FA"/>
            <w:vAlign w:val="center"/>
            <w:tcMar>
              <w:top w:w="80" w:type="dxa"/>
              <w:left w:w="100" w:type="dxa"/>
              <w:bottom w:w="80" w:type="dxa"/>
              <w:right w:w="100" w:type="dxa"/>
            </w:tcMar>
          </w:tcPr>
          <w:p>
            <w:pPr>
              <w:spacing w:after="40" w:before="40" w:line="252" w:lineRule="auto"/>
            </w:pPr>
            <w:r>
              <w:rPr>
                <w:sz w:val="18"/>
              </w:rPr>
              <w:t>Sources / scope</w:t>
            </w:r>
          </w:p>
        </w:tc>
        <w:tc>
          <w:tcPr>
            <w:tcW w:type="dxa" w:w="5760"/>
            <w:shd w:fill="EFF4FA"/>
            <w:vAlign w:val="center"/>
            <w:tcMar>
              <w:top w:w="80" w:type="dxa"/>
              <w:left w:w="100" w:type="dxa"/>
              <w:bottom w:w="80" w:type="dxa"/>
              <w:right w:w="100" w:type="dxa"/>
            </w:tcMar>
          </w:tcPr>
          <w:p>
            <w:pPr>
              <w:spacing w:after="40" w:before="40" w:line="252" w:lineRule="auto"/>
            </w:pPr>
            <w:r>
              <w:rPr>
                <w:sz w:val="18"/>
              </w:rPr>
              <w:t>Provenance, real versus synthetic, citations, permitted use and limitations.</w:t>
            </w:r>
          </w:p>
        </w:tc>
      </w:tr>
    </w:tbl>
    <w:p/>
    <w:p>
      <w:pPr>
        <w:pStyle w:val="Heading1"/>
      </w:pPr>
      <w:r>
        <w:t>AI use, collaboration and scientific responsibility</w:t>
      </w:r>
    </w:p>
    <w:p>
      <w:r>
        <w:t>AI is optional. During practice and the two projects it may support explanations, debugging and language editing. You remain responsible for checking calculations, identifiers, sources and claims. Do not cite AI output as the original scientific evidence. A transparent no-AI submission is fully acceptable; neither zero AI use nor a check that found no defect is penalized. [S23]</w:t>
      </w:r>
    </w:p>
    <w:p>
      <w:r>
        <w:t>A disclosure can read: "No AI used; I checked the interval length by hand." Or: "Tool and version/date: ...; purpose: explanation of a Python error; content shared: synthetic code only; accepted changes: ...; checks: ... ." You do not need to disclose private unrelated conversations or upload an entire account history.</w:t>
      </w:r>
    </w:p>
    <w:p>
      <w:r>
        <w:t>Do not upload real patient data, identifiable classmate work or confidential research to a public service. Removing names does not by itself establish that genomic data are anonymous. Ask the authorized institutional team before using sensitive data or an unapproved destination. [S20-S22]</w:t>
      </w:r>
    </w:p>
    <w:p>
      <w:r>
        <w:t>A seed, matching output, polished language or a detector score is not proof of misconduct. Concerns should be handled through fair discussion and the institution's process, using actual evidence. Keep a short record of decisions and corrections to make your own reasoning visible.</w:t>
      </w:r>
    </w:p>
    <w:p>
      <w:pPr>
        <w:pStyle w:val="Heading1"/>
      </w:pPr>
      <w:r>
        <w:t>Help, accessibility and recovery</w:t>
      </w:r>
    </w:p>
    <w:tbl>
      <w:tblPr>
        <w:tblW w:type="auto" w:w="0"/>
        <w:jc w:val="center"/>
        <w:tblLayout w:type="fixed"/>
        <w:tblLook w:firstColumn="1" w:firstRow="1" w:lastColumn="0" w:lastRow="0" w:noHBand="0" w:noVBand="1" w:val="04A0"/>
      </w:tblPr>
      <w:tblGrid>
        <w:gridCol w:w="3096"/>
        <w:gridCol w:w="6408"/>
      </w:tblGrid>
      <w:tr>
        <w:trPr>
          <w:tblHeader/>
          <w:cantSplit/>
        </w:trPr>
        <w:tc>
          <w:tcPr>
            <w:tcW w:type="dxa" w:w="3096"/>
            <w:shd w:fill="236BB5"/>
            <w:vAlign w:val="center"/>
            <w:tcMar>
              <w:top w:w="80" w:type="dxa"/>
              <w:left w:w="100" w:type="dxa"/>
              <w:bottom w:w="80" w:type="dxa"/>
              <w:right w:w="100" w:type="dxa"/>
            </w:tcMar>
          </w:tcPr>
          <w:p>
            <w:pPr>
              <w:spacing w:after="40" w:before="40" w:line="252" w:lineRule="auto"/>
            </w:pPr>
            <w:r>
              <w:rPr>
                <w:b/>
                <w:color w:val="FFFFFF"/>
                <w:sz w:val="18"/>
              </w:rPr>
              <w:t>Situation</w:t>
            </w:r>
          </w:p>
        </w:tc>
        <w:tc>
          <w:tcPr>
            <w:tcW w:type="dxa" w:w="6408"/>
            <w:shd w:fill="236BB5"/>
            <w:vAlign w:val="center"/>
            <w:tcMar>
              <w:top w:w="80" w:type="dxa"/>
              <w:left w:w="100" w:type="dxa"/>
              <w:bottom w:w="80" w:type="dxa"/>
              <w:right w:w="100" w:type="dxa"/>
            </w:tcMar>
          </w:tcPr>
          <w:p>
            <w:pPr>
              <w:spacing w:after="40" w:before="40" w:line="252" w:lineRule="auto"/>
            </w:pPr>
            <w:r>
              <w:rPr>
                <w:b/>
                <w:color w:val="FFFFFF"/>
                <w:sz w:val="18"/>
              </w:rPr>
              <w:t>Recovery route</w:t>
            </w:r>
          </w:p>
        </w:tc>
      </w:tr>
      <w:tr>
        <w:trPr>
          <w:cantSplit/>
        </w:trPr>
        <w:tc>
          <w:tcPr>
            <w:tcW w:type="dxa" w:w="3096"/>
            <w:shd w:fill="EFF4FA"/>
            <w:vAlign w:val="center"/>
            <w:tcMar>
              <w:top w:w="80" w:type="dxa"/>
              <w:left w:w="100" w:type="dxa"/>
              <w:bottom w:w="80" w:type="dxa"/>
              <w:right w:w="100" w:type="dxa"/>
            </w:tcMar>
          </w:tcPr>
          <w:p>
            <w:pPr>
              <w:spacing w:after="40" w:before="40" w:line="252" w:lineRule="auto"/>
            </w:pPr>
            <w:r>
              <w:rPr>
                <w:sz w:val="18"/>
              </w:rPr>
              <w:t>No laptop or temporary internet failure</w:t>
            </w:r>
          </w:p>
        </w:tc>
        <w:tc>
          <w:tcPr>
            <w:tcW w:type="dxa" w:w="6408"/>
            <w:shd w:fill="EFF4FA"/>
            <w:vAlign w:val="center"/>
            <w:tcMar>
              <w:top w:w="80" w:type="dxa"/>
              <w:left w:w="100" w:type="dxa"/>
              <w:bottom w:w="80" w:type="dxa"/>
              <w:right w:w="100" w:type="dxa"/>
            </w:tcMar>
          </w:tcPr>
          <w:p>
            <w:pPr>
              <w:spacing w:after="40" w:before="40" w:line="252" w:lineRule="auto"/>
            </w:pPr>
            <w:r>
              <w:rPr>
                <w:sz w:val="18"/>
              </w:rPr>
              <w:t>Use the matching paper task in the Lab Workbook; submit a scan/photo or written worksheet.</w:t>
            </w:r>
          </w:p>
        </w:tc>
      </w:tr>
      <w:tr>
        <w:trPr>
          <w:cantSplit/>
        </w:trPr>
        <w:tc>
          <w:tcPr>
            <w:tcW w:type="dxa" w:w="3096"/>
            <w:vAlign w:val="center"/>
            <w:tcMar>
              <w:top w:w="80" w:type="dxa"/>
              <w:left w:w="100" w:type="dxa"/>
              <w:bottom w:w="80" w:type="dxa"/>
              <w:right w:w="100" w:type="dxa"/>
            </w:tcMar>
          </w:tcPr>
          <w:p>
            <w:pPr>
              <w:spacing w:after="40" w:before="40" w:line="252" w:lineRule="auto"/>
            </w:pPr>
            <w:r>
              <w:rPr>
                <w:sz w:val="18"/>
              </w:rPr>
              <w:t>Runtime was restarted</w:t>
            </w:r>
          </w:p>
        </w:tc>
        <w:tc>
          <w:tcPr>
            <w:tcW w:type="dxa" w:w="6408"/>
            <w:vAlign w:val="center"/>
            <w:tcMar>
              <w:top w:w="80" w:type="dxa"/>
              <w:left w:w="100" w:type="dxa"/>
              <w:bottom w:w="80" w:type="dxa"/>
              <w:right w:w="100" w:type="dxa"/>
            </w:tcMar>
          </w:tcPr>
          <w:p>
            <w:pPr>
              <w:spacing w:after="40" w:before="40" w:line="252" w:lineRule="auto"/>
            </w:pPr>
            <w:r>
              <w:rPr>
                <w:sz w:val="18"/>
              </w:rPr>
              <w:t>Run setup first and then all cells in order. Do not rerun random cells until a desired result appears.</w:t>
            </w:r>
          </w:p>
        </w:tc>
      </w:tr>
      <w:tr>
        <w:trPr>
          <w:cantSplit/>
        </w:trPr>
        <w:tc>
          <w:tcPr>
            <w:tcW w:type="dxa" w:w="3096"/>
            <w:shd w:fill="EFF4FA"/>
            <w:vAlign w:val="center"/>
            <w:tcMar>
              <w:top w:w="80" w:type="dxa"/>
              <w:left w:w="100" w:type="dxa"/>
              <w:bottom w:w="80" w:type="dxa"/>
              <w:right w:w="100" w:type="dxa"/>
            </w:tcMar>
          </w:tcPr>
          <w:p>
            <w:pPr>
              <w:spacing w:after="40" w:before="40" w:line="252" w:lineRule="auto"/>
            </w:pPr>
            <w:r>
              <w:rPr>
                <w:sz w:val="18"/>
              </w:rPr>
              <w:t>NameError</w:t>
            </w:r>
          </w:p>
        </w:tc>
        <w:tc>
          <w:tcPr>
            <w:tcW w:type="dxa" w:w="6408"/>
            <w:shd w:fill="EFF4FA"/>
            <w:vAlign w:val="center"/>
            <w:tcMar>
              <w:top w:w="80" w:type="dxa"/>
              <w:left w:w="100" w:type="dxa"/>
              <w:bottom w:w="80" w:type="dxa"/>
              <w:right w:w="100" w:type="dxa"/>
            </w:tcMar>
          </w:tcPr>
          <w:p>
            <w:pPr>
              <w:spacing w:after="40" w:before="40" w:line="252" w:lineRule="auto"/>
            </w:pPr>
            <w:r>
              <w:rPr>
                <w:sz w:val="18"/>
              </w:rPr>
              <w:t>Check whether the defining cell ran and whether a name was mistyped.</w:t>
            </w:r>
          </w:p>
        </w:tc>
      </w:tr>
      <w:tr>
        <w:trPr>
          <w:cantSplit/>
        </w:trPr>
        <w:tc>
          <w:tcPr>
            <w:tcW w:type="dxa" w:w="3096"/>
            <w:vAlign w:val="center"/>
            <w:tcMar>
              <w:top w:w="80" w:type="dxa"/>
              <w:left w:w="100" w:type="dxa"/>
              <w:bottom w:w="80" w:type="dxa"/>
              <w:right w:w="100" w:type="dxa"/>
            </w:tcMar>
          </w:tcPr>
          <w:p>
            <w:pPr>
              <w:spacing w:after="40" w:before="40" w:line="252" w:lineRule="auto"/>
            </w:pPr>
            <w:r>
              <w:rPr>
                <w:sz w:val="18"/>
              </w:rPr>
              <w:t>Division by zero / empty input</w:t>
            </w:r>
          </w:p>
        </w:tc>
        <w:tc>
          <w:tcPr>
            <w:tcW w:type="dxa" w:w="6408"/>
            <w:vAlign w:val="center"/>
            <w:tcMar>
              <w:top w:w="80" w:type="dxa"/>
              <w:left w:w="100" w:type="dxa"/>
              <w:bottom w:w="80" w:type="dxa"/>
              <w:right w:w="100" w:type="dxa"/>
            </w:tcMar>
          </w:tcPr>
          <w:p>
            <w:pPr>
              <w:spacing w:after="40" w:before="40" w:line="252" w:lineRule="auto"/>
            </w:pPr>
            <w:r>
              <w:rPr>
                <w:sz w:val="18"/>
              </w:rPr>
              <w:t>Inspect the denominator; undefined is sometimes the correct outcome.</w:t>
            </w:r>
          </w:p>
        </w:tc>
      </w:tr>
      <w:tr>
        <w:trPr>
          <w:cantSplit/>
        </w:trPr>
        <w:tc>
          <w:tcPr>
            <w:tcW w:type="dxa" w:w="3096"/>
            <w:shd w:fill="EFF4FA"/>
            <w:vAlign w:val="center"/>
            <w:tcMar>
              <w:top w:w="80" w:type="dxa"/>
              <w:left w:w="100" w:type="dxa"/>
              <w:bottom w:w="80" w:type="dxa"/>
              <w:right w:w="100" w:type="dxa"/>
            </w:tcMar>
          </w:tcPr>
          <w:p>
            <w:pPr>
              <w:spacing w:after="40" w:before="40" w:line="252" w:lineRule="auto"/>
            </w:pPr>
            <w:r>
              <w:rPr>
                <w:sz w:val="18"/>
              </w:rPr>
              <w:t>AI result seems confident but strange</w:t>
            </w:r>
          </w:p>
        </w:tc>
        <w:tc>
          <w:tcPr>
            <w:tcW w:type="dxa" w:w="6408"/>
            <w:shd w:fill="EFF4FA"/>
            <w:vAlign w:val="center"/>
            <w:tcMar>
              <w:top w:w="80" w:type="dxa"/>
              <w:left w:w="100" w:type="dxa"/>
              <w:bottom w:w="80" w:type="dxa"/>
              <w:right w:w="100" w:type="dxa"/>
            </w:tcMar>
          </w:tcPr>
          <w:p>
            <w:pPr>
              <w:spacing w:after="40" w:before="40" w:line="252" w:lineRule="auto"/>
            </w:pPr>
            <w:r>
              <w:rPr>
                <w:sz w:val="18"/>
              </w:rPr>
              <w:t>Check a primary source and a known numerical example. Confidence of wording is not evidence.</w:t>
            </w:r>
          </w:p>
        </w:tc>
      </w:tr>
      <w:tr>
        <w:trPr>
          <w:cantSplit/>
        </w:trPr>
        <w:tc>
          <w:tcPr>
            <w:tcW w:type="dxa" w:w="3096"/>
            <w:vAlign w:val="center"/>
            <w:tcMar>
              <w:top w:w="80" w:type="dxa"/>
              <w:left w:w="100" w:type="dxa"/>
              <w:bottom w:w="80" w:type="dxa"/>
              <w:right w:w="100" w:type="dxa"/>
            </w:tcMar>
          </w:tcPr>
          <w:p>
            <w:pPr>
              <w:spacing w:after="40" w:before="40" w:line="252" w:lineRule="auto"/>
            </w:pPr>
            <w:r>
              <w:rPr>
                <w:sz w:val="18"/>
              </w:rPr>
              <w:t>Need language or access accommodation</w:t>
            </w:r>
          </w:p>
        </w:tc>
        <w:tc>
          <w:tcPr>
            <w:tcW w:type="dxa" w:w="6408"/>
            <w:vAlign w:val="center"/>
            <w:tcMar>
              <w:top w:w="80" w:type="dxa"/>
              <w:left w:w="100" w:type="dxa"/>
              <w:bottom w:w="80" w:type="dxa"/>
              <w:right w:w="100" w:type="dxa"/>
            </w:tcMar>
          </w:tcPr>
          <w:p>
            <w:pPr>
              <w:spacing w:after="40" w:before="40" w:line="252" w:lineRule="auto"/>
            </w:pPr>
            <w:r>
              <w:rPr>
                <w:sz w:val="18"/>
              </w:rPr>
              <w:t>Discuss the approved route with the instructor. Use the plain-text lecture companion, enlarged slides and glossary. Optional complexity is not required.</w:t>
            </w:r>
          </w:p>
        </w:tc>
      </w:tr>
    </w:tbl>
    <w:p/>
    <w:p>
      <w:pPr>
        <w:pStyle w:val="Heading1"/>
      </w:pPr>
      <w:r>
        <w:t>Readings: a small, purposeful selection</w:t>
      </w:r>
    </w:p>
    <w:p>
      <w:r>
        <w:t>Required reading is the relevant course explanation and selected sections of official documentation, not every full paper in the source register. Spend about 10-20 minutes on a focused section before class. The primary papers are available for evidence checks and optional deeper study.</w:t>
      </w:r>
    </w:p>
    <w:tbl>
      <w:tblPr>
        <w:tblW w:type="auto" w:w="0"/>
        <w:jc w:val="center"/>
        <w:tblLayout w:type="fixed"/>
        <w:tblLook w:firstColumn="1" w:firstRow="1" w:lastColumn="0" w:lastRow="0" w:noHBand="0" w:noVBand="1" w:val="04A0"/>
      </w:tblPr>
      <w:tblGrid>
        <w:gridCol w:w="1440"/>
        <w:gridCol w:w="8064"/>
      </w:tblGrid>
      <w:tr>
        <w:trPr>
          <w:tblHeader/>
          <w:cantSplit/>
        </w:trPr>
        <w:tc>
          <w:tcPr>
            <w:tcW w:type="dxa" w:w="1440"/>
            <w:shd w:fill="236BB5"/>
            <w:vAlign w:val="center"/>
            <w:tcMar>
              <w:top w:w="80" w:type="dxa"/>
              <w:left w:w="100" w:type="dxa"/>
              <w:bottom w:w="80" w:type="dxa"/>
              <w:right w:w="100" w:type="dxa"/>
            </w:tcMar>
          </w:tcPr>
          <w:p>
            <w:pPr>
              <w:spacing w:after="40" w:before="40" w:line="252" w:lineRule="auto"/>
            </w:pPr>
            <w:r>
              <w:rPr>
                <w:b/>
                <w:color w:val="FFFFFF"/>
                <w:sz w:val="18"/>
              </w:rPr>
              <w:t>Weeks</w:t>
            </w:r>
          </w:p>
        </w:tc>
        <w:tc>
          <w:tcPr>
            <w:tcW w:type="dxa" w:w="8064"/>
            <w:shd w:fill="236BB5"/>
            <w:vAlign w:val="center"/>
            <w:tcMar>
              <w:top w:w="80" w:type="dxa"/>
              <w:left w:w="100" w:type="dxa"/>
              <w:bottom w:w="80" w:type="dxa"/>
              <w:right w:w="100" w:type="dxa"/>
            </w:tcMar>
          </w:tcPr>
          <w:p>
            <w:pPr>
              <w:spacing w:after="40" w:before="40" w:line="252" w:lineRule="auto"/>
            </w:pPr>
            <w:r>
              <w:rPr>
                <w:b/>
                <w:color w:val="FFFFFF"/>
                <w:sz w:val="18"/>
              </w:rPr>
              <w:t>Focused reading</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00-01</w:t>
            </w:r>
          </w:p>
        </w:tc>
        <w:tc>
          <w:tcPr>
            <w:tcW w:type="dxa" w:w="8064"/>
            <w:shd w:fill="EFF4FA"/>
            <w:vAlign w:val="center"/>
            <w:tcMar>
              <w:top w:w="80" w:type="dxa"/>
              <w:left w:w="100" w:type="dxa"/>
              <w:bottom w:w="80" w:type="dxa"/>
              <w:right w:w="100" w:type="dxa"/>
            </w:tcMar>
          </w:tcPr>
          <w:p>
            <w:pPr>
              <w:spacing w:after="40" w:before="40" w:line="252" w:lineRule="auto"/>
            </w:pPr>
            <w:r>
              <w:rPr>
                <w:sz w:val="18"/>
              </w:rPr>
              <w:t>S01: DNA/RNA/protein foundations; S02: release-specific counting example.</w:t>
            </w:r>
          </w:p>
        </w:tc>
      </w:tr>
      <w:tr>
        <w:trPr>
          <w:cantSplit/>
        </w:trPr>
        <w:tc>
          <w:tcPr>
            <w:tcW w:type="dxa" w:w="1440"/>
            <w:vAlign w:val="center"/>
            <w:tcMar>
              <w:top w:w="80" w:type="dxa"/>
              <w:left w:w="100" w:type="dxa"/>
              <w:bottom w:w="80" w:type="dxa"/>
              <w:right w:w="100" w:type="dxa"/>
            </w:tcMar>
          </w:tcPr>
          <w:p>
            <w:pPr>
              <w:spacing w:after="40" w:before="40" w:line="252" w:lineRule="auto"/>
            </w:pPr>
            <w:r>
              <w:rPr>
                <w:sz w:val="18"/>
              </w:rPr>
              <w:t>02-04</w:t>
            </w:r>
          </w:p>
        </w:tc>
        <w:tc>
          <w:tcPr>
            <w:tcW w:type="dxa" w:w="8064"/>
            <w:vAlign w:val="center"/>
            <w:tcMar>
              <w:top w:w="80" w:type="dxa"/>
              <w:left w:w="100" w:type="dxa"/>
              <w:bottom w:w="80" w:type="dxa"/>
              <w:right w:w="100" w:type="dxa"/>
            </w:tcMar>
          </w:tcPr>
          <w:p>
            <w:pPr>
              <w:spacing w:after="40" w:before="40" w:line="252" w:lineRule="auto"/>
            </w:pPr>
            <w:r>
              <w:rPr>
                <w:sz w:val="18"/>
              </w:rPr>
              <w:t>S03/S04: coordinate conventions; S05: basic Python; S06/S26: alignment and E-values.</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05-08</w:t>
            </w:r>
          </w:p>
        </w:tc>
        <w:tc>
          <w:tcPr>
            <w:tcW w:type="dxa" w:w="8064"/>
            <w:shd w:fill="EFF4FA"/>
            <w:vAlign w:val="center"/>
            <w:tcMar>
              <w:top w:w="80" w:type="dxa"/>
              <w:left w:w="100" w:type="dxa"/>
              <w:bottom w:w="80" w:type="dxa"/>
              <w:right w:w="100" w:type="dxa"/>
            </w:tcMar>
          </w:tcPr>
          <w:p>
            <w:pPr>
              <w:spacing w:after="40" w:before="40" w:line="252" w:lineRule="auto"/>
            </w:pPr>
            <w:r>
              <w:rPr>
                <w:sz w:val="18"/>
              </w:rPr>
              <w:t>S07: p-value interpretation; S10: count input and sample metadata; S08: BH principle.</w:t>
            </w:r>
          </w:p>
        </w:tc>
      </w:tr>
      <w:tr>
        <w:trPr>
          <w:cantSplit/>
        </w:trPr>
        <w:tc>
          <w:tcPr>
            <w:tcW w:type="dxa" w:w="1440"/>
            <w:vAlign w:val="center"/>
            <w:tcMar>
              <w:top w:w="80" w:type="dxa"/>
              <w:left w:w="100" w:type="dxa"/>
              <w:bottom w:w="80" w:type="dxa"/>
              <w:right w:w="100" w:type="dxa"/>
            </w:tcMar>
          </w:tcPr>
          <w:p>
            <w:pPr>
              <w:spacing w:after="40" w:before="40" w:line="252" w:lineRule="auto"/>
            </w:pPr>
            <w:r>
              <w:rPr>
                <w:sz w:val="18"/>
              </w:rPr>
              <w:t>09-10</w:t>
            </w:r>
          </w:p>
        </w:tc>
        <w:tc>
          <w:tcPr>
            <w:tcW w:type="dxa" w:w="8064"/>
            <w:vAlign w:val="center"/>
            <w:tcMar>
              <w:top w:w="80" w:type="dxa"/>
              <w:left w:w="100" w:type="dxa"/>
              <w:bottom w:w="80" w:type="dxa"/>
              <w:right w:w="100" w:type="dxa"/>
            </w:tcMar>
          </w:tcPr>
          <w:p>
            <w:pPr>
              <w:spacing w:after="40" w:before="40" w:line="252" w:lineRule="auto"/>
            </w:pPr>
            <w:r>
              <w:rPr>
                <w:sz w:val="18"/>
              </w:rPr>
              <w:t>S11: data leakage; S12: biological replication; S13: matrix axes.</w:t>
            </w:r>
          </w:p>
        </w:tc>
      </w:tr>
      <w:tr>
        <w:trPr>
          <w:cantSplit/>
        </w:trPr>
        <w:tc>
          <w:tcPr>
            <w:tcW w:type="dxa" w:w="1440"/>
            <w:shd w:fill="EFF4FA"/>
            <w:vAlign w:val="center"/>
            <w:tcMar>
              <w:top w:w="80" w:type="dxa"/>
              <w:left w:w="100" w:type="dxa"/>
              <w:bottom w:w="80" w:type="dxa"/>
              <w:right w:w="100" w:type="dxa"/>
            </w:tcMar>
          </w:tcPr>
          <w:p>
            <w:pPr>
              <w:spacing w:after="40" w:before="40" w:line="252" w:lineRule="auto"/>
            </w:pPr>
            <w:r>
              <w:rPr>
                <w:sz w:val="18"/>
              </w:rPr>
              <w:t>11-12</w:t>
            </w:r>
          </w:p>
        </w:tc>
        <w:tc>
          <w:tcPr>
            <w:tcW w:type="dxa" w:w="8064"/>
            <w:shd w:fill="EFF4FA"/>
            <w:vAlign w:val="center"/>
            <w:tcMar>
              <w:top w:w="80" w:type="dxa"/>
              <w:left w:w="100" w:type="dxa"/>
              <w:bottom w:w="80" w:type="dxa"/>
              <w:right w:w="100" w:type="dxa"/>
            </w:tcMar>
          </w:tcPr>
          <w:p>
            <w:pPr>
              <w:spacing w:after="40" w:before="40" w:line="252" w:lineRule="auto"/>
            </w:pPr>
            <w:r>
              <w:rPr>
                <w:sz w:val="18"/>
              </w:rPr>
              <w:t>S14/S15: compare stated evaluation scopes; S16: pLDDT and PAE.</w:t>
            </w:r>
          </w:p>
        </w:tc>
      </w:tr>
      <w:tr>
        <w:trPr>
          <w:cantSplit/>
        </w:trPr>
        <w:tc>
          <w:tcPr>
            <w:tcW w:type="dxa" w:w="1440"/>
            <w:vAlign w:val="center"/>
            <w:tcMar>
              <w:top w:w="80" w:type="dxa"/>
              <w:left w:w="100" w:type="dxa"/>
              <w:bottom w:w="80" w:type="dxa"/>
              <w:right w:w="100" w:type="dxa"/>
            </w:tcMar>
          </w:tcPr>
          <w:p>
            <w:pPr>
              <w:spacing w:after="40" w:before="40" w:line="252" w:lineRule="auto"/>
            </w:pPr>
            <w:r>
              <w:rPr>
                <w:sz w:val="18"/>
              </w:rPr>
              <w:t>13-14</w:t>
            </w:r>
          </w:p>
        </w:tc>
        <w:tc>
          <w:tcPr>
            <w:tcW w:type="dxa" w:w="8064"/>
            <w:vAlign w:val="center"/>
            <w:tcMar>
              <w:top w:w="80" w:type="dxa"/>
              <w:left w:w="100" w:type="dxa"/>
              <w:bottom w:w="80" w:type="dxa"/>
              <w:right w:w="100" w:type="dxa"/>
            </w:tcMar>
          </w:tcPr>
          <w:p>
            <w:pPr>
              <w:spacing w:after="40" w:before="40" w:line="252" w:lineRule="auto"/>
            </w:pPr>
            <w:r>
              <w:rPr>
                <w:sz w:val="18"/>
              </w:rPr>
              <w:t>S18: ClinVar review status; S19: categories; S20-S23: responsible data/AI use.</w:t>
            </w:r>
          </w:p>
        </w:tc>
      </w:tr>
    </w:tbl>
    <w:p/>
    <w:sectPr w:rsidR="00FC693F" w:rsidRPr="0006063C" w:rsidSect="00034616">
      <w:headerReference w:type="default" r:id="rId9"/>
      <w:footerReference w:type="default" r:id="rId10"/>
      <w:pgSz w:w="11909" w:h="16834"/>
      <w:pgMar w:top="1008"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1"/>
        <w:sz w:val="16"/>
      </w:rPr>
      <w:t xml:space="preserve">Teaching edition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BIB  |  BIOINFORMATICS FOR BIOENGINEERING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3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36BB5"/>
      <w:sz w:val="4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236BB5"/>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b/>
      <w:bCs/>
      <w:color w:val="236B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Display" w:hAnsi="Aptos Display"/>
      <w:color w:val="236BB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Aptos" w:hAnsi="Aptos"/>
      <w:color w:val="2330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17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