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Additional file 1: Supplementary figure legends</w:t>
      </w:r>
    </w:p>
    <w:p>
      <w:pPr>
        <w:pStyle w:val="BodyText"/>
      </w:pPr>
      <w:r>
        <w:t xml:space="preserve">Figure numbering is frozen (FIGURES_MANIFEST.md). Every supplementary figure is generated by a script that also writes its caption and an audit TSV of every plotted value; sources and per-value provenance are in the sidecar caption files of the companion repository.</w:t>
      </w:r>
    </w:p>
    <w:p>
      <w:pPr>
        <w:pStyle w:val="Heading2"/>
      </w:pPr>
      <w:bookmarkStart w:id="20" w:name="X722974c3c2228d9a7e4b71c21b5fafd2602bc57"/>
      <w:r>
        <w:t xml:space="preserve">Fig S1 | The datasets behind every headline number, with the poly(A) clip rate</w:t>
      </w:r>
      <w:bookmarkEnd w:id="20"/>
    </w:p>
    <w:p>
      <w:pPr>
        <w:pStyle w:val="FirstParagraph"/>
      </w:pPr>
      <w:r>
        <w:rPr>
          <w:b/>
        </w:rPr>
        <w:t xml:space="preserve">(a)</w:t>
      </w:r>
      <w:r>
        <w:t xml:space="preserve"> </w:t>
      </w:r>
      <w:r>
        <w:t xml:space="preserve">Per-library table for the four benchmark arms and the cohort: chemistry, upstream pipeline, read-2 length, cells, and the identical v2 parameter block (108 recorded parameters; the only library parameter is</w:t>
      </w:r>
      <w:r>
        <w:t xml:space="preserve"> </w:t>
      </w:r>
      <w:r>
        <w:rPr>
          <w:rStyle w:val="VerbatimChar"/>
        </w:rPr>
        <w:t xml:space="preserve">--seq-len</w:t>
      </w:r>
      <w:r>
        <w:t xml:space="preserve">, the R2 read length). An em-dash means no verified measurement exists and the value is omitted rather than approximated (testis clip rates; testis/cohort per-BAM read counts; and the cohort clip rate, whose in-run 0.015% warning was a head-of-chr1 sampling artefact and is never repeated as fact).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Clip rates where a verified value exists. The genome-wide qualifying rate on PBMC 10k v3 is 0.5730% (3,195,067 / 557,564,408 accepted cell-barcoded reads), the corrected constant, superseding the 1.152% docstring figure. Hatched bars are the v2 caller's head-sample QC estimator (first 200,000 cell-barcoded reads of a coordinate-sorted BAM; tool issue #99 §2, whose default has since changed on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to an exact in-pass count,</w:t>
      </w:r>
      <w:r>
        <w:t xml:space="preserve"> </w:t>
      </w:r>
      <w:r>
        <w:rPr>
          <w:rStyle w:val="VerbatimChar"/>
        </w:rPr>
        <w:t xml:space="preserve">--clip-rate-sampling pass</w:t>
      </w:r>
      <w:r>
        <w:t xml:space="preserve">, merged in PR #100, with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retained as the v2 behaviour), which reads 2.2565% on PBMC where its own criteria measure 0.5364% genome-wide (~4.2× head bias): estimator values are comparable only with each other, never with the genome-wide bar. pbmc4k's estimator value is 1.64× donor 1's: the evidence channel is richer on donor 2. Cohort scope: 17 GSM libraries = 14 patients; the pre-registered primary excludes MetBone (15 GSMs = 12 patients); cells shown are the Stage-3 curated set (29,063) and its label-confirmed subset (18,651; 64.2%), not a CellRanger estimate.</w:t>
      </w:r>
    </w:p>
    <w:p>
      <w:pPr>
        <w:pStyle w:val="Heading2"/>
      </w:pPr>
      <w:bookmarkStart w:id="21" w:name="X46d751a50129ff817359b9c05293fba6c174bd1"/>
      <w:r>
        <w:t xml:space="preserve">Fig S2 | v2 peak-call QC and the tier-2 cleavage-offset census</w:t>
      </w:r>
      <w:bookmarkEnd w:id="21"/>
    </w:p>
    <w:p>
      <w:pPr>
        <w:pStyle w:val="FirstParagraph"/>
      </w:pPr>
      <w:r>
        <w:rPr>
          <w:b/>
        </w:rPr>
        <w:t xml:space="preserve">(a)</w:t>
      </w:r>
      <w:r>
        <w:t xml:space="preserve"> </w:t>
      </w:r>
      <w:r>
        <w:t xml:space="preserve">Tier composition of every final v2 arm, with every count naming its arm: PBMC IP arm 333,920 calls (tier 1 167,565 / tier 2 166,355 scored), default 46,524 (P@100 0.7062); mice defaults 26,255 / 26,526 (0.7450 / 0.7572); single-molecule share of tier 1 is 72.2% on the PBMC IP arm and 72.1% on the no-IP arm (the value the text quotes). The no-IP ≥2-molecule file is post hoc and is not the default.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Tier-2 calls are wide intervals (medians 371 / 259 / 248 bp); tier-1 calls are 1-bp clip-anchored points.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Default calls per gene.</w:t>
      </w:r>
      <w:r>
        <w:t xml:space="preserve"> </w:t>
      </w:r>
      <w:r>
        <w:rPr>
          <w:b/>
        </w:rPr>
        <w:t xml:space="preserve">(d)</w:t>
      </w:r>
      <w:r>
        <w:t xml:space="preserve"> </w:t>
      </w:r>
      <w:r>
        <w:t xml:space="preserve">Distinct-clip-molecule distributions; selecting BED score ≥2 reproduces the default exactly (asserted per arm).</w:t>
      </w:r>
      <w:r>
        <w:t xml:space="preserve"> </w:t>
      </w:r>
      <w:r>
        <w:rPr>
          <w:b/>
        </w:rPr>
        <w:t xml:space="preserve">(e–g)</w:t>
      </w:r>
      <w:r>
        <w:t xml:space="preserve"> </w:t>
      </w:r>
      <w:r>
        <w:t xml:space="preserve">The ~90–105 nt tier-2 coverage offset (10x R2 coverage runs out before the poly(A) junction), measured on the development slices: four independent estimates agree (tool auto-offset 103 PBMC / 87 mouse; post-hoc argmax +95 on atlas P@10 and on Kinnex t5 P@10, where t5 = ≥5 long-read records at the terminus, not de-duplicated UMIs); the signed-distance mode moves to ~0 when corrected, and the tier-1 control sits at +0, so the offset is real and tier-2-specific.</w:t>
      </w:r>
      <w:r>
        <w:t xml:space="preserve"> </w:t>
      </w:r>
      <w:r>
        <w:rPr>
          <w:b/>
        </w:rPr>
        <w:t xml:space="preserve">Boxed negative disposition:</w:t>
      </w:r>
      <w:r>
        <w:t xml:space="preserve"> </w:t>
      </w:r>
      <w:r>
        <w:t xml:space="preserve">correcting it triples tier-2 P@10 but fails every pre-registered acceptance criterion (atlas-agreement P@100 remains ~0.085 vs null 0.028 on PBMC, no recall gain, internal-priming decoy rate more than triples); nothing is adopted: the disposition is to report inferred cleavage, not to move calls. Caveats: the census ran on development slices (the PBMC slice is clip-richer than the genome), so whether the offset holds for all 166,355 full-BAM tier-2 sites is an inference, not a measurement; the underlying sweep is provisional pending its own verifier.</w:t>
      </w:r>
    </w:p>
    <w:p>
      <w:pPr>
        <w:pStyle w:val="Heading2"/>
      </w:pPr>
      <w:bookmarkStart w:id="22" w:name="X375a29529aa10bd7231953d3308e96672979764"/>
      <w:r>
        <w:t xml:space="preserve">Fig S3 | Why the benchmark is built this way: regimes, chance and one reconciled null</w:t>
      </w:r>
      <w:bookmarkEnd w:id="22"/>
    </w:p>
    <w:p>
      <w:pPr>
        <w:pStyle w:val="FirstParagraph"/>
      </w:pPr>
      <w:r>
        <w:rPr>
          <w:b/>
        </w:rPr>
        <w:t xml:space="preserve">(a)</w:t>
      </w:r>
      <w:r>
        <w:t xml:space="preserve"> </w:t>
      </w:r>
      <w:r>
        <w:t xml:space="preserve">Against the 18,432,135-entry PolyASite dump with whole-peak-interval matching, five peak-calling strategies scored 0.996–1.000 (spread &lt;0.004) while width-matched shuffled peaks already scored 0.62–0.75, and the two retired figures computed different nulls for the same arm (0.615 vs 0.753); under that regime the benchmark can rank nothing. Scored at the strand-matched 3′-most base against the curated PolyASite 2.0 representative sites, the same five arms separate (P@100 0.355–0.492) over one reconciled null (0.020–0.024).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Reference density recomputed on the curated point reference: 2.26% of gene-body bp lies within 100 bp of a same-strand curated site, and the measured null mean (0.0219) equals that local density within 3%: chance in this benchmark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reference density, which is why the null is indispensable.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score_tool.py</w:t>
      </w:r>
      <w:r>
        <w:t xml:space="preserve"> </w:t>
      </w:r>
      <w:r>
        <w:t xml:space="preserve">null accompanies every verified score TSV: the pre-registered default scores 0.7062 / 0.7450 / 0.7572 against nulls of 0.0217 / 0.0139 / 0.0138 (33–55× chance), and every competitor is scored with its own identically built null. Caveats: panel a's left group is the retired record, shown solely as the discrepancy being reconciled, and none of its values may be quoted as benchmark results; the null≈density ratio (0.97 at 100 bp) is a consistency observation of this recompute, not an independently verified claim; the density denominator is the merged gene-body space the null shuffle actually uses (1.80 Gb), not the whole genome; scUTRquant is catalog-based and unranked; SCAPTURE mouse 2 is not plotted (site-level run scored 0.672; only mouse 1 carries a verified null-bearing row).</w:t>
      </w:r>
    </w:p>
    <w:p>
      <w:pPr>
        <w:pStyle w:val="Heading2"/>
      </w:pPr>
      <w:bookmarkStart w:id="23" w:name="X9ed1742a80d6e6764d646952fbd37aae88ea13a"/>
      <w:r>
        <w:t xml:space="preserve">Fig S4 | Second-donor validation: the unchanged default on pbmc4k (pre-registered)</w:t>
      </w:r>
      <w:bookmarkEnd w:id="23"/>
    </w:p>
    <w:p>
      <w:pPr>
        <w:pStyle w:val="FirstParagraph"/>
      </w:pPr>
      <w:r>
        <w:t xml:space="preserve">Pre-registered before any pbmc4k number existed (driver frozen 19 minutes before the caller started); run on the identical frozen code, scorer, atlas and nulls; 107 of 108 recorded parameters identical, the one change being</w:t>
      </w:r>
      <w:r>
        <w:t xml:space="preserve"> </w:t>
      </w:r>
      <w:r>
        <w:rPr>
          <w:rStyle w:val="VerbatimChar"/>
        </w:rPr>
        <w:t xml:space="preserve">--seq-len</w:t>
      </w:r>
      <w:r>
        <w:t xml:space="preserve"> </w:t>
      </w:r>
      <w:r>
        <w:t xml:space="preserve">91→98, a library descriptor.</w:t>
      </w:r>
      <w:r>
        <w:t xml:space="preserve"> </w:t>
      </w:r>
      <w:r>
        <w:rPr>
          <w:b/>
        </w:rPr>
        <w:t xml:space="preserve">(a)</w:t>
      </w:r>
      <w:r>
        <w:t xml:space="preserve"> </w:t>
      </w:r>
      <w:r>
        <w:t xml:space="preserve">Gate P@100 ≥ 0.50: PASS at 0.8279 (38× its null), so the gate now holds on four libraries; the ≥1-molecule arm again has the higher F1_det (0.2635 vs 0.1948), so ≥2 molecules remains a reliability choice, not the F1 optimum.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Cross-donor concordance per the pre-registered protocol, both directions, never one alone: 84.2% of donor-2 default calls have a strand-matched donor-1 call within 100 bp (81.3% at 25 bp; ~361× the genic-shuffle null); the reverse direction is 39.9% against its 44.4% arithmetic ceiling (donor 1 emits 46,524 calls to donor 2's 20,672, i.e. call-count arithmetic, not disagreement).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The matched-call-count control, drawn so it cannot be buried: donor 1's default cut to donor 2's call count by any route scores P@100 0.886–0.907 with R_det 0.112–0.124, dominating donor 2 on both axes, so donor 2's higher headline atlas-agreement precision is an operating-point effect.</w:t>
      </w:r>
      <w:r>
        <w:t xml:space="preserve"> </w:t>
      </w:r>
      <w:r>
        <w:rPr>
          <w:b/>
        </w:rPr>
        <w:t xml:space="preserve">Precision generalises; it does not improve.</w:t>
      </w:r>
      <w:r>
        <w:t xml:space="preserve"> </w:t>
      </w:r>
      <w:r>
        <w:t xml:space="preserve">Caveats that travel: a second library, chemistry and CellRanger version, only presumptively a second individual (10x publishes no donor identifier); recall is genuinely lower on donor 2 (R_det 0.1104 vs 0.1754; survives every denominator swap, and the clip channel was 1.64× richer on donor 2, so channel poverty is no excuse); no claim about v2-vs-v3 chemistry as such.</w:t>
      </w:r>
    </w:p>
    <w:p>
      <w:pPr>
        <w:pStyle w:val="Heading2"/>
      </w:pPr>
      <w:bookmarkStart w:id="24" w:name="X29ca507205838d3114bf39baad4450aa9bb24ae"/>
      <w:r>
        <w:t xml:space="preserve">Fig S5 | Per-tool long-read re-ranking and the concordance decomposition</w:t>
      </w:r>
      <w:bookmarkEnd w:id="24"/>
    </w:p>
    <w:p>
      <w:pPr>
        <w:pStyle w:val="FirstParagraph"/>
      </w:pPr>
      <w:r>
        <w:rPr>
          <w:b/>
        </w:rPr>
        <w:t xml:space="preserve">[In preparation.]</w:t>
      </w:r>
      <w:r>
        <w:t xml:space="preserve"> </w:t>
      </w:r>
      <w:r>
        <w:t xml:space="preserve">Planned content: per-tool re-ranking of call sets against the Kinnex long-read truth, with the genuine / internal-priming / unsupported decomposition per tool. The build is blocked pending de-duplication of the truth-set support counts (~10.5% of alignment records repeat a (cell barcode, UMI) pair at the same terminus) or relabelling of the support axis; nothing in this draft cites it. If it is not built at freeze, this slot is dropped and downstream supplements renumber in a single pass.</w:t>
      </w:r>
    </w:p>
    <w:p>
      <w:pPr>
        <w:pStyle w:val="Heading2"/>
      </w:pPr>
      <w:bookmarkStart w:id="25" w:name="X5b756eeb33c12c7e5a73a115220337f6c3b1178"/>
      <w:r>
        <w:t xml:space="preserve">Fig S6 | Hexamer and A-fraction profiles at the clip-seeded cleavage point</w:t>
      </w:r>
      <w:bookmarkEnd w:id="25"/>
    </w:p>
    <w:p>
      <w:pPr>
        <w:pStyle w:val="FirstParagraph"/>
      </w:pPr>
      <w:r>
        <w:rPr>
          <w:b/>
        </w:rPr>
        <w:t xml:space="preserve">[In preparation.]</w:t>
      </w:r>
      <w:r>
        <w:t xml:space="preserve"> </w:t>
      </w:r>
      <w:r>
        <w:t xml:space="preserve">Planned content: canonical-hexamer occurrence in −40..−5 of the clip-anchored cleavage point and the A-fraction profile, with a shuffled-position null for the re-anchored window. Blocked on that null, which does not yet exist; nothing in this draft cites it. If it is not built at freeze, this slot is dropped and downstream supplements renumber with S5's pass.</w:t>
      </w:r>
    </w:p>
    <w:p>
      <w:pPr>
        <w:pStyle w:val="Heading2"/>
      </w:pPr>
      <w:bookmarkStart w:id="26" w:name="X5e9cc7fbad0ab9c58f27014564ebbb49fd7c36b"/>
      <w:r>
        <w:t xml:space="preserve">Fig S7 | The pre-registered trusted-novel definition and its failure (negative result)</w:t>
      </w:r>
      <w:bookmarkEnd w:id="26"/>
    </w:p>
    <w:p>
      <w:pPr>
        <w:pStyle w:val="FirstParagraph"/>
      </w:pPr>
      <w:r>
        <w:t xml:space="preserve">Input: the final PBMC 10k v3 precision default (46,524 sites on primary contigs). The definition, committed before any number existed, was clip-supported ∧ ≥2 molecules ∧ not internal priming ∧ canonical hexamer at −40..−5 ∧ ≥100 bp from any PolyASite 2.0 site (PolyA_DB, hg19-only, could not be used); it yields 7,259 trusted-novel sites (15.6%). Truth: Kinnex x3p poly(A)-verified 3′ ends (different donors), hit = within 25 bp, same strand, at ≥5 supporting long-read records at the terminus (not de-duplicated UMIs).</w:t>
      </w:r>
      <w:r>
        <w:t xml:space="preserve"> </w:t>
      </w:r>
      <w:r>
        <w:rPr>
          <w:b/>
        </w:rPr>
        <w:t xml:space="preserve">(a)</w:t>
      </w:r>
      <w:r>
        <w:t xml:space="preserve"> </w:t>
      </w:r>
      <w:r>
        <w:t xml:space="preserve">The funnel with per-stage concordance: input 0.765 → hexamer 0.811 → atlas-novel 0.485 → strong hexamer 0.502; the atlas-novelty stage is what moves concordance; dashed line = the 0.70 target.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Concordance vs truth stringency, with the atlas-known hexamer-pass complement (0.894 at ≥5 records) calibrating the ceiling and the 10-seed shuffled null (0.007) as a band.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Feature classes (trusted-novel 69.4% intronic) and Kinnex internal-priming-decoy proximity (27.0% vs 7.6% for the atlas-known hexamer-pass complement).</w:t>
      </w:r>
      <w:r>
        <w:t xml:space="preserve"> </w:t>
      </w:r>
      <w:r>
        <w:rPr>
          <w:b/>
        </w:rPr>
        <w:t xml:space="preserve">(d, boxed, post hoc)</w:t>
      </w:r>
      <w:r>
        <w:t xml:space="preserve"> </w:t>
      </w:r>
      <w:r>
        <w:t xml:space="preserve">Concordance by feature class and molecule support, exploratory only; never call a de novo site "trusted" on its strength. Caveats that travel: this is a negative result and is written as one, 0.485 vs the ≥0.70 target, missed under every truth choice at the pre-registered 25 bp window (GEM-X 0.515, pooled 0.582; the 50/100 bp pooled values are not the pre-registered window); donor mismatch cannot explain the gap (the atlas-known complement scores 0.894 on the same truth), though truth is site-level and donor-mismatched, which caps the attainable fraction; enrichment over the null (65–179×, empirical p at the 1/11 floor) does not rescue an absolute-fraction target; the hexamer adds +0.046 overall but nothing among atlas-novel sites (hexamer-fail 0.487), because the novelty criterion selects the sites the long reads see least; the residual class survives both internal-priming rules (added on top of the shipped filter, a Kinnex-style A-richness rule removes 31 of 46,524 default sites, a no-op), so the internal-priming diagnosis, chosen after seeing the data, remains a hypothesis (decoy-proximal sites are less concordant, 0.39 vs 0.52: a plausible mechanism, not a proven one); the v1→v2 change (0.521 → 0.485) is descriptive, not a test; single PBMC donor, single BAM.</w:t>
      </w:r>
    </w:p>
    <w:p>
      <w:pPr>
        <w:pStyle w:val="Heading2"/>
      </w:pPr>
      <w:bookmarkStart w:id="27" w:name="fig-s8-compute-detail-behind-fig-3d"/>
      <w:r>
        <w:t xml:space="preserve">Fig S8 | Compute detail behind Fig 3d</w:t>
      </w:r>
      <w:bookmarkEnd w:id="27"/>
    </w:p>
    <w:p>
      <w:pPr>
        <w:pStyle w:val="FirstParagraph"/>
      </w:pPr>
      <w:r>
        <w:rPr>
          <w:b/>
        </w:rPr>
        <w:t xml:space="preserve">(a, b)</w:t>
      </w:r>
      <w:r>
        <w:t xml:space="preserve"> </w:t>
      </w:r>
      <w:r>
        <w:t xml:space="preserve">Every PBMC 10k v3 arm from the verified compute registry. Rule in force: never quote wall time without the concurrency disclosure. The v2 arm wall times (34:37 no-IP, 32:59 IP) were measured with all four benchmark arms running concurrently, and the uncontended single run is 27:43. Peak RSS is the production number: 293.7 GB (v1) → 12.53 GB (v2), 23.5×. v1 exceeded the pre-registered 150 GB stop signal and was profiled rather than shipped (a ≥300 GB node, ~1.4 cores despite</w:t>
      </w:r>
      <w:r>
        <w:t xml:space="preserve"> </w:t>
      </w:r>
      <w:r>
        <w:rPr>
          <w:rStyle w:val="VerbatimChar"/>
        </w:rPr>
        <w:t xml:space="preserve">--threads 16</w:t>
      </w:r>
      <w:r>
        <w:t xml:space="preserve">). Competitor caveats carried verbatim: scAPAtrap's 4:04:29 is a resumed run after an OOM-killed first attempt and understates a from-scratch run (12:58:50 total machine time, disclosed, not summed); scUTRquant's 30:45 sums two attempts; SCAPTURE's 12:14 sums its two mandatory stages with the annotation prebuild untimed; polyApipe and Sierra ran clean.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The fix confirmed at two other scales: the 17-library cohort (~224 GB of BAM) fell 9:06:26 → 1:06:26 (8.2×) at identical output (505,197 unified PAS on both codes), the mouse arms 1:01:09/1:01:48 → 14:10/16:00 with peak RSS 23.1/22.4 → 3.07/3.65 GB.</w:t>
      </w:r>
      <w:r>
        <w:t xml:space="preserve"> </w:t>
      </w:r>
      <w:r>
        <w:rPr>
          <w:b/>
        </w:rPr>
        <w:t xml:space="preserve">(d)</w:t>
      </w:r>
      <w:r>
        <w:t xml:space="preserve"> </w:t>
      </w:r>
      <w:r>
        <w:t xml:space="preserve">Why: profiling located the v1 peak in clustering (dense TF-IDF; four dense float64 copies of the cells × PAS matrix, 291 GB computed, 287.8 GB measured in isolation); the fix (sparse TF-IDF, per-(contig, strand) parallel calling, streamed cell-barcode filter) is byte-identical on 18/18 compared outputs.</w:t>
      </w:r>
    </w:p>
    <w:p>
      <w:pPr>
        <w:pStyle w:val="Heading2"/>
      </w:pPr>
      <w:bookmarkStart w:id="28" w:name="X7f08414a621e7110fb9283f03500ffb503725ab"/>
      <w:r>
        <w:t xml:space="preserve">Fig S9 | Calibration deep-dive behind Fig 4</w:t>
      </w:r>
      <w:bookmarkEnd w:id="28"/>
    </w:p>
    <w:p>
      <w:pPr>
        <w:pStyle w:val="FirstParagraph"/>
      </w:pPr>
      <w:r>
        <w:t xml:space="preserve">Same harness as Fig 4 (testis mouse 1; 20 shared label permutations; no permutation re-run, all panels reading the verified TSVs except the declared recomputation in b).</w:t>
      </w:r>
      <w:r>
        <w:t xml:space="preserve"> </w:t>
      </w:r>
      <w:r>
        <w:rPr>
          <w:b/>
        </w:rPr>
        <w:t xml:space="preserve">(a)</w:t>
      </w:r>
      <w:r>
        <w:t xml:space="preserve"> </w:t>
      </w:r>
      <w:r>
        <w:t xml:space="preserve">Per-stage-pair null p &lt; 0.05 for all six configurations: no pair drives any verdict; the shipping configuration B0 (Fisher, cells, no marker pre-selection) spans 2.94–3.13% with 0/20 null runs carrying any q &lt; 0.05 hit.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B0 stratified by a label-independent expression measure: every stratum is below the 5% nominal rate, never anti-conservative at any expression level (recomputed 2.5–4.0% under a declared binning; the verified range is 2.6–4.0% and the original bin edges were not persisted, a stated caveat; the pooled rate reproduces the verified 3.03% exactly).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Reads-mode pseudoreplication: 20.3% vs 13.0% null p &lt; 0.05 with pre-selection on, 9.6% vs 3.0% with it off, and ~1,500 false q &lt; 0.05 hits per null run in reads mode even without pre-selection.</w:t>
      </w:r>
      <w:r>
        <w:t xml:space="preserve"> </w:t>
      </w:r>
      <w:r>
        <w:rPr>
          <w:b/>
        </w:rPr>
        <w:t xml:space="preserve">(d)</w:t>
      </w:r>
      <w:r>
        <w:t xml:space="preserve"> </w:t>
      </w:r>
      <w:r>
        <w:t xml:space="preserve">Permutation-calibrated q vs nominal BH q on the true runs; for B0 the permutation null is conservative and calibrated q adds hits (60,332 → 66,630; 46,230 after the effect floor). True hit counts are not comparable across marker modes (different tested universe and a different Fisher gene denominator).</w:t>
      </w:r>
      <w:r>
        <w:t xml:space="preserve"> </w:t>
      </w:r>
      <w:r>
        <w:rPr>
          <w:b/>
        </w:rPr>
        <w:t xml:space="preserve">(e)</w:t>
      </w:r>
      <w:r>
        <w:t xml:space="preserve"> </w:t>
      </w:r>
      <w:r>
        <w:t xml:space="preserve">The negative-binomial plug-in dispersion floor (10⁻⁴): in the pre-selection-off arm, 8.5% of null tests carry 67% of null q &lt; 0.05 hits (13% in the marker arm). Rule that ships: whenever marker pre-selection or</w:t>
      </w:r>
      <w:r>
        <w:t xml:space="preserve"> </w:t>
      </w:r>
      <w:r>
        <w:rPr>
          <w:rStyle w:val="VerbatimChar"/>
        </w:rPr>
        <w:t xml:space="preserve">nb_pairwise</w:t>
      </w:r>
      <w:r>
        <w:t xml:space="preserve"> </w:t>
      </w:r>
      <w:r>
        <w:t xml:space="preserve">is used, permutation-calibrated q is required. Caveats: single mouse, single tissue, very large true stage effects; the label-permutation null tests exchangeability under the global null only; KS rejects for every arm (discrete Fisher) and is reported, not gated; "calibrated" is the pre-registered operational rule, not a standard.</w:t>
      </w:r>
    </w:p>
    <w:p>
      <w:pPr>
        <w:pStyle w:val="Heading2"/>
      </w:pPr>
      <w:bookmarkStart w:id="29" w:name="X991ba3e1e6ec61ba775273822357845d1fa369b"/>
      <w:r>
        <w:t xml:space="preserve">Fig S10 | The dropped clustering claim, stated honestly</w:t>
      </w:r>
      <w:bookmarkEnd w:id="29"/>
    </w:p>
    <w:p>
      <w:pPr>
        <w:pStyle w:val="FirstParagraph"/>
      </w:pPr>
      <w:r>
        <w:rPr>
          <w:b/>
        </w:rPr>
        <w:t xml:space="preserve">(a)</w:t>
      </w:r>
      <w:r>
        <w:t xml:space="preserve"> </w:t>
      </w:r>
      <w:r>
        <w:t xml:space="preserve">PBMC 10k v3: clustering on all 275,370 PAS-site counts recovers GEX marker cell types (AMI 0.708, ARI 0.502), but summing the same counts to 14,891 per-gene totals, discarding all site-level resolution, recovers them just as well (AMI 0.6978; k-matched 0.7878 vs 0.7602). Site resolution adds nothing, so the recovery is 3′-end expression signal re-encoded, not isoform choice; the positive result never appears without this ablation on the same axis.</w:t>
      </w:r>
      <w:r>
        <w:t xml:space="preserve"> </w:t>
      </w:r>
      <w:r>
        <w:rPr>
          <w:b/>
        </w:rPr>
        <w:t xml:space="preserve">(b)</w:t>
      </w:r>
      <w:r>
        <w:t xml:space="preserve"> </w:t>
      </w:r>
      <w:r>
        <w:t xml:space="preserve">The (dropped) positive result replicates: 17/17 Laughney libraries, median AMI 0.662 (range 0.367–0.779).</w:t>
      </w:r>
      <w:r>
        <w:t xml:space="preserve"> </w:t>
      </w:r>
      <w:r>
        <w:rPr>
          <w:b/>
        </w:rPr>
        <w:t xml:space="preserve">(c)</w:t>
      </w:r>
      <w:r>
        <w:t xml:space="preserve"> </w:t>
      </w:r>
      <w:r>
        <w:t xml:space="preserve">The retired parameter sweep's one durable finding: Leiden resolution dominates cluster count (+112.5% median, 17/17 datasets) while every annotation-trim knob is at least 8× smaller. Caveats that travel: the reference partition is marker-derived, not curated truth; per-site counts carry gene abundance, and panel a shows abundance suffices, so no isoform-choice signal is demonstrated; concordance is scored on GEX-labelled cells only (median coverage 0.498; coverage does not drive agreement, ρ −0.34, p 0.18); no stage effect is claimed; the isoform-only usage-fraction spaces are excluded (mis-keyed matrices, re-run pending; the ablation verdict does not depend on them);</w:t>
      </w:r>
      <w:r>
        <w:t xml:space="preserve"> </w:t>
      </w:r>
      <w:r>
        <w:rPr>
          <w:rStyle w:val="VerbatimChar"/>
        </w:rPr>
        <w:t xml:space="preserve">--min-pas-prominence</w:t>
      </w:r>
      <w:r>
        <w:t xml:space="preserve"> </w:t>
      </w:r>
      <w:r>
        <w:t xml:space="preserve">is proven byte-identically inert on the lambda strategies, so no prominence arm of the retired sweep could have been informative; the library-size bar's median must not be quoted alone (per-dataset range −41.7% to +93.3%); cluster count is a granularity proxy, and nothing here says cell assignments are stable across knobs.</w:t>
      </w:r>
    </w:p>
    <w:p>
      <w:pPr>
        <w:pStyle w:val="Heading1"/>
      </w:pPr>
      <w:bookmarkStart w:id="30" w:name="supplementary-tables"/>
      <w:r>
        <w:t xml:space="preserve">Supplementary tables</w:t>
      </w:r>
      <w:bookmarkEnd w:id="30"/>
    </w:p>
    <w:p>
      <w:pPr>
        <w:pStyle w:val="FirstParagraph"/>
      </w:pPr>
      <w:r>
        <w:rPr>
          <w:b/>
        </w:rPr>
        <w:t xml:space="preserve">Supplementary Table T7 | Competitor tool versions, parameters, run commands and run-log caveats.</w:t>
      </w:r>
      <w:r>
        <w:t xml:space="preserve"> </w:t>
      </w:r>
      <w:r>
        <w:t xml:space="preserve">Every version string is read from the</w:t>
      </w:r>
      <w:r>
        <w:t xml:space="preserve"> </w:t>
      </w:r>
      <w:r>
        <w:rPr>
          <w:rStyle w:val="VerbatimChar"/>
        </w:rPr>
        <w:t xml:space="preserve">tool_version.txt</w:t>
      </w:r>
      <w:r>
        <w:t xml:space="preserve"> </w:t>
      </w:r>
      <w:r>
        <w:t xml:space="preserve">that each run wrote at run time; every invocation is the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or driver actually executed. Both are in the analysis repository at the paths given. Caveats are carried verbatim from the verified compute record (Fig S8).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Dataset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Version and key dependencies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Parameters that set the call 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Run 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Run-log caveat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polyApipe</w:t>
            </w:r>
          </w:p>
        </w:tc>
        <w:tc>
          <w:p>
            <w:pPr>
              <w:pStyle w:val="Compact"/>
              <w:jc w:val="left"/>
            </w:pPr>
            <w:r>
              <w:t xml:space="preserve">PBMC 10k v3</w:t>
            </w:r>
          </w:p>
        </w:tc>
        <w:tc>
          <w:p>
            <w:pPr>
              <w:pStyle w:val="Compact"/>
              <w:jc w:val="left"/>
            </w:pPr>
            <w:r>
              <w:t xml:space="preserve">polyApipe.py 0.1.0; featureCounts v2.1.1; UMI-tools version: 1.1.6; samtools 1.18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--cell_barcode_tag CB --umi_tag UB -t 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results/benchmark_tools/pbmc_10k_v3/polyapipe/run.sh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Ran clean.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SCAPTURE</w:t>
            </w:r>
          </w:p>
        </w:tc>
        <w:tc>
          <w:p>
            <w:pPr>
              <w:pStyle w:val="Compact"/>
              <w:jc w:val="left"/>
            </w:pPr>
            <w:r>
              <w:t xml:space="preserve">PBMC 10k v3</w:t>
            </w:r>
          </w:p>
        </w:tc>
        <w:tc>
          <w:p>
            <w:pPr>
              <w:pStyle w:val="Compact"/>
              <w:jc w:val="left"/>
            </w:pPr>
            <w:r>
              <w:t xml:space="preserve">SCAPTURE v1.0 (2021/01/25), git main clone 2026-08-18, /mnt/ssd1/Projects/PeakATail_wd/tools/SCAPTURE; samtools 1.9; bedtools v2.26.0; 2.1.4; featureCounts v1.6.4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 PAScall --species human -l 91 -p 16</w:t>
            </w:r>
            <w:r>
              <w:t xml:space="preserve">; DeepPASS on CPU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results/benchmark_tools/pbmc_10k_v3/scapture/run.sh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Wall time 12:14 sums its two mandatory stages; the annotation prebuild is untimed.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p>
            <w:pPr>
              <w:pStyle w:val="Compact"/>
              <w:jc w:val="left"/>
            </w:pPr>
            <w:r>
              <w:t xml:space="preserve">PBMC 10k v3</w:t>
            </w:r>
          </w:p>
        </w:tc>
        <w:tc>
          <w:p>
            <w:pPr>
              <w:pStyle w:val="Compact"/>
              <w:jc w:val="left"/>
            </w:pPr>
            <w:r>
              <w:t xml:space="preserve">Sierra 0.99.27; R 4.5.3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FindPeaks</w:t>
            </w:r>
            <w:r>
              <w:t xml:space="preserve">/</w:t>
            </w:r>
            <w:r>
              <w:rPr>
                <w:rStyle w:val="VerbatimChar"/>
              </w:rPr>
              <w:t xml:space="preserve">CountPeaks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ncores = 16</w:t>
            </w:r>
            <w:r>
              <w:t xml:space="preserve">, GRCh38.99 GTF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results/benchmark_tools/pbmc_10k_v3/sierra/run.sh</w:t>
            </w:r>
          </w:p>
        </w:tc>
        <w:tc>
          <w:p>
            <w:pPr>
              <w:pStyle w:val="Compact"/>
              <w:jc w:val="left"/>
            </w:pPr>
            <w:r>
              <w:rPr>
                <w:sz w:val="18"/>
              </w:rPr>
              <w:t xml:space="preserve">Ran clean.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scAPAtrap</w:t>
            </w:r>
          </w:p>
        </w:tc>
        <w:tc>
          <w:p>
            <w:pPr>
              <w:pStyle w:val="Compact"/>
              <w:jc w:val="left"/>
            </w:pPr>
            <w:r>
              <w:t xml:space="preserve">PBMC 10k v3</w:t>
            </w:r>
          </w:p>
        </w:tc>
        <w:tc>
          <w:p>
            <w:pPr>
              <w:pStyle w:val="Compact"/>
              <w:jc w:val="left"/>
            </w:pPr>
            <w:r>
              <w:t xml:space="preserve">scAPAtrap 0.2.0 / R 4.5.3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readlength 91</w:t>
            </w:r>
            <w:r>
              <w:t xml:space="preserve">; CellRanger filtered barcodes (11,769);</w:t>
            </w:r>
            <w:r>
              <w:t xml:space="preserve"> </w:t>
            </w:r>
            <w:r>
              <w:rPr>
                <w:rStyle w:val="VerbatimChar"/>
              </w:rPr>
              <w:t xml:space="preserve">findUniqueMap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dedupByPos</w:t>
            </w:r>
            <w:r>
              <w:t xml:space="preserve"> </w:t>
            </w:r>
            <w:r>
              <w:t xml:space="preserve">-&gt; per-strand</w:t>
            </w:r>
            <w:r>
              <w:t xml:space="preserve"> </w:t>
            </w:r>
            <w:r>
              <w:rPr>
                <w:rStyle w:val="VerbatimChar"/>
              </w:rPr>
              <w:t xml:space="preserve">findPeaksByStrand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results/benchmark_tools/pbmc_10k_v3/scapatrap/run.sh</w:t>
            </w:r>
          </w:p>
        </w:tc>
        <w:tc>
          <w:p>
            <w:pPr>
              <w:pStyle w:val="Compact"/>
              <w:jc w:val="left"/>
            </w:pPr>
            <w:r>
              <w:t xml:space="preserve">Wall time 4:04:29 is a RESUMED run after an OOM-killed first attempt; a from-scratch run is 12:58:50 total machine time. Disclosed, never summed.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scUTRquant</w:t>
            </w:r>
          </w:p>
        </w:tc>
        <w:tc>
          <w:p>
            <w:pPr>
              <w:pStyle w:val="Compact"/>
              <w:jc w:val="left"/>
            </w:pPr>
            <w:r>
              <w:t xml:space="preserve">PBMC 10k v3</w:t>
            </w:r>
          </w:p>
        </w:tc>
        <w:tc>
          <w:p>
            <w:pPr>
              <w:pStyle w:val="Compact"/>
              <w:jc w:val="left"/>
            </w:pPr>
            <w:r>
              <w:t xml:space="preserve">scUTRquant pipeline v0.5.1 (Mayrlab/scUTRquant, git clone; SQ_VERSION in Snakefile); snakemake 7.32.4; git commit: d16056f33000fdc9bb7d1d74a78a73900f298f8c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 utrome_hg38_v1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 10xv3</w:t>
            </w:r>
            <w:r>
              <w:t xml:space="preserve">; min_umis and strand not recorded in this run's own version record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results/benchmark_tools/pbmc_10k_v3/scutrquant/run.sh</w:t>
            </w:r>
          </w:p>
        </w:tc>
        <w:tc>
          <w:p>
            <w:pPr>
              <w:pStyle w:val="Compact"/>
              <w:jc w:val="left"/>
            </w:pPr>
            <w:r>
              <w:t xml:space="preserve">Wall time 30:45 SUMS two attempts (salvage rerun after exit 1).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polyApipe</w:t>
            </w:r>
          </w:p>
        </w:tc>
        <w:tc>
          <w:p>
            <w:pPr>
              <w:pStyle w:val="Compact"/>
              <w:jc w:val="left"/>
            </w:pPr>
            <w:r>
              <w:t xml:space="preserve">GSE104556 testis</w:t>
            </w:r>
          </w:p>
        </w:tc>
        <w:tc>
          <w:p>
            <w:pPr>
              <w:pStyle w:val="Compact"/>
              <w:jc w:val="left"/>
            </w:pPr>
            <w:r>
              <w:t xml:space="preserve">polyApipe.py 0.1.0; featureCounts v2.1.1; UMI-tools version: 1.1.6; samtools 1.18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--cell_barcode_tag CB --umi_tag UB -t 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results/benchmark_tools/gse104556/polyapipe/run.sh</w:t>
            </w:r>
          </w:p>
        </w:tc>
        <w:tc>
          <w:p>
            <w:pPr>
              <w:pStyle w:val="Compact"/>
              <w:jc w:val="left"/>
            </w:pPr>
            <w:r>
              <w:t xml:space="preserve">No retry or skipped stage recorded in the run 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SCAPTURE</w:t>
            </w:r>
          </w:p>
        </w:tc>
        <w:tc>
          <w:p>
            <w:pPr>
              <w:pStyle w:val="Compact"/>
              <w:jc w:val="left"/>
            </w:pPr>
            <w:r>
              <w:t xml:space="preserve">GSE104556 testis</w:t>
            </w:r>
          </w:p>
        </w:tc>
        <w:tc>
          <w:p>
            <w:pPr>
              <w:pStyle w:val="Compact"/>
              <w:jc w:val="left"/>
            </w:pPr>
            <w:r>
              <w:t xml:space="preserve">SCAPTURE v1.0 (2021/01/25), git main clone 2026-08-18, /mnt/ssd1/Projects/PeakATail_wd/tools/SCAPTURE; samtools 1.9; bedtools v2.26.0; 2.1.4; featureCounts v1.6.4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 PAScall --species mouse -l 98 -p 16</w:t>
            </w:r>
            <w:r>
              <w:t xml:space="preserve">; annotation prebuilt from the run's own GTF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results/benchmark_tools/gse104556/scapture/run.sh</w:t>
            </w:r>
          </w:p>
        </w:tc>
        <w:tc>
          <w:p>
            <w:pPr>
              <w:pStyle w:val="Compact"/>
              <w:jc w:val="left"/>
            </w:pPr>
            <w:r>
              <w:t xml:space="preserve">Mouse-2 site-level run completed and was scored (P@100 0.672); only its per-cell quantification step failed. That run is not invalid.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p>
            <w:pPr>
              <w:pStyle w:val="Compact"/>
              <w:jc w:val="left"/>
            </w:pPr>
            <w:r>
              <w:t xml:space="preserve">GSE104556 testis</w:t>
            </w:r>
          </w:p>
        </w:tc>
        <w:tc>
          <w:p>
            <w:pPr>
              <w:pStyle w:val="Compact"/>
              <w:jc w:val="left"/>
            </w:pPr>
            <w:r>
              <w:t xml:space="preserve">Sierra 0.99.27; R 4.5.3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FindPeaks</w:t>
            </w:r>
            <w:r>
              <w:t xml:space="preserve">/</w:t>
            </w:r>
            <w:r>
              <w:rPr>
                <w:rStyle w:val="VerbatimChar"/>
              </w:rPr>
              <w:t xml:space="preserve">CountPeaks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ncores = 16</w:t>
            </w:r>
            <w:r>
              <w:t xml:space="preserve">, GRCm38.102 GTF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results/benchmark_tools/gse104556/sierra/run.sh</w:t>
            </w:r>
          </w:p>
        </w:tc>
        <w:tc>
          <w:p>
            <w:pPr>
              <w:pStyle w:val="Compact"/>
              <w:jc w:val="left"/>
            </w:pPr>
            <w:r>
              <w:t xml:space="preserve">No retry or skipped stage recorded in the run 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scAPAtrap</w:t>
            </w:r>
          </w:p>
        </w:tc>
        <w:tc>
          <w:p>
            <w:pPr>
              <w:pStyle w:val="Compact"/>
              <w:jc w:val="left"/>
            </w:pPr>
            <w:r>
              <w:t xml:space="preserve">GSE104556 testis</w:t>
            </w:r>
          </w:p>
        </w:tc>
        <w:tc>
          <w:p>
            <w:pPr>
              <w:pStyle w:val="Compact"/>
              <w:jc w:val="left"/>
            </w:pPr>
            <w:r>
              <w:t xml:space="preserve">scAPAtrap 0.2.0 / R 4.5.3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readlength 98</w:t>
            </w:r>
            <w:r>
              <w:t xml:space="preserve">; STARsolo filtered barcodes; same four-stage chain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results/benchmark_tools/gse104556/scapatrap/run.sh</w:t>
            </w:r>
          </w:p>
        </w:tc>
        <w:tc>
          <w:p>
            <w:pPr>
              <w:pStyle w:val="Compact"/>
              <w:jc w:val="left"/>
            </w:pPr>
            <w:r>
              <w:t xml:space="preserve">No retry or skipped stage recorded in the run 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scUTRquant</w:t>
            </w:r>
          </w:p>
        </w:tc>
        <w:tc>
          <w:p>
            <w:pPr>
              <w:pStyle w:val="Compact"/>
              <w:jc w:val="left"/>
            </w:pPr>
            <w:r>
              <w:t xml:space="preserve">GSE104556 testis</w:t>
            </w:r>
          </w:p>
        </w:tc>
        <w:tc>
          <w:p>
            <w:pPr>
              <w:pStyle w:val="Compact"/>
              <w:jc w:val="left"/>
            </w:pPr>
            <w:r>
              <w:t xml:space="preserve">scUTRquant pipeline v0.5.1 (Mayrlab/scUTRquant, git clone; SQ_VERSION in Snakefile); snakemake 7.32.4; git commit: d16056f33000fdc9bb7d1d74a78a73900f298f8c; prep samtools: samtools 1.24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 utrome_mm10_v2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tech 10xv2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--fr-stranded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min_umis 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results/benchmark_tools/gse104556/scutrquant/run.sh</w:t>
            </w:r>
          </w:p>
        </w:tc>
        <w:tc>
          <w:p>
            <w:pPr>
              <w:pStyle w:val="Compact"/>
              <w:jc w:val="left"/>
            </w:pPr>
            <w:r>
              <w:t xml:space="preserve">No retry or skipped stage recorded in the run 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scTail (Hou and Huang, 2025)</w:t>
            </w:r>
          </w:p>
        </w:tc>
        <w:tc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p>
            <w:pPr>
              <w:pStyle w:val="Compact"/>
              <w:jc w:val="left"/>
            </w:pPr>
            <w:r>
              <w:t xml:space="preserve">not run</w:t>
            </w:r>
          </w:p>
        </w:tc>
        <w:tc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p>
            <w:pPr>
              <w:pStyle w:val="Compact"/>
              <w:jc w:val="left"/>
            </w:pPr>
            <w:r>
              <w:t xml:space="preserve">Not runnable on either BAM: the method reads the cleavage position from the cDNA end of read 1, and read 1 is 28 bp in these libraries. No number is reported for it anywhere.</w:t>
            </w:r>
          </w:p>
        </w:tc>
      </w:tr>
    </w:tbl>
    <w:p>
      <w:pPr>
        <w:pStyle w:val="BodyText"/>
      </w:pPr>
      <w:r>
        <w:t xml:space="preserve">All competitor runs used one scorer (</w:t>
      </w:r>
      <w:r>
        <w:rPr>
          <w:rStyle w:val="VerbatimChar"/>
        </w:rPr>
        <w:t xml:space="preserve">scripts/benchmark_tools/score_tool.py</w:t>
      </w:r>
      <w:r>
        <w:t xml:space="preserve">) and the per-dataset detected-gene denominators given in Methods. PeakATail's own arms are recorded separately at the frozen commits named in Methods.</w:t>
      </w:r>
    </w:p>
    <w:sectPr>
      <w:footerReference w:type="default" r:id="rId9"/>
      <w:pgSz w:w="11906" w:h="16838"/>
      <w:pgMar w:top="1247" w:right="1247" w:bottom="1247" w:left="1247" w:header="708" w:footer="708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uppressLineNumbers/>
      <w:pStyle w:val="Footer"/>
      <w:jc w:val="center"/>
    </w:pPr>
    <w:r>
      <w:rPr>
        <w:rFonts w:ascii="Times New Roman" w:hAnsi="Times New Roman"/>
        <w:sz w:val="20"/>
      </w:rPr>
    </w:r>
    <w:r>
      <w:rPr>
        <w:rFonts w:ascii="Times New Roman" w:hAnsi="Times New Roman"/>
        <w:sz w:val="20"/>
      </w:rPr>
      <w:t xml:space="preserve">Page </w: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  <w:t xml:space="preserve"> of </w: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NUMPAGES </w:instrText>
    </w:r>
    <w:r>
      <w:rPr>
        <w:rFonts w:ascii="Times New Roman" w:hAnsi="Times New Roman"/>
        <w:sz w:val="20"/>
      </w:rPr>
      <w:fldChar w:fldCharType="separate"/>
    </w:r>
    <w:r>
      <w:rPr>
        <w:rFonts w:ascii="Times New Roman" w:hAnsi="Times New Roman"/>
        <w:sz w:val="20"/>
      </w:rPr>
      <w:t>1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before="0" w:after="16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60" w:line="276" w:lineRule="auto"/>
      <w:jc w:val="both"/>
    </w:pPr>
  </w:style>
  <w:style w:type="paragraph" w:styleId="BodyText">
    <w:name w:val="Body Text"/>
    <w:basedOn w:val="Normal"/>
    <w:link w:val="BodyTextChar"/>
    <w:pPr>
      <w:spacing w:before="0" w:after="160" w:line="276" w:lineRule="auto"/>
      <w:jc w:val="both"/>
    </w:pPr>
    <w:qFormat/>
  </w:style>
  <w:style w:type="paragraph" w:customStyle="1" w:styleId="FirstParagraph">
    <w:name w:val="First Paragraph"/>
    <w:basedOn w:val="BodyText"/>
    <w:next w:val="BodyText"/>
    <w:qFormat/>
    <w:pPr>
      <w:spacing w:before="0" w:after="160" w:line="276" w:lineRule="auto"/>
      <w:jc w:val="both"/>
    </w:pPr>
  </w:style>
  <w:style w:type="paragraph" w:customStyle="1" w:styleId="Compact">
    <w:name w:val="Compact"/>
    <w:basedOn w:val="BodyText"/>
    <w:qFormat/>
    <w:pPr>
      <w:spacing w:before="0" w:after="64" w:line="276" w:lineRule="auto"/>
      <w:jc w:val="both"/>
    </w:pPr>
  </w:style>
  <w:style w:type="paragraph" w:styleId="Title">
    <w:name w:val="Title"/>
    <w:basedOn w:val="Normal"/>
    <w:next w:val="BodyText"/>
    <w:qFormat/>
    <w:pPr>
      <w:spacing w:before="0" w:after="240" w:line="240" w:lineRule="auto"/>
      <w:keepNext/>
      <w:keepLines/>
      <w:jc w:val="left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spacing w:before="0" w:after="120" w:line="240" w:lineRule="auto"/>
      <w:keepNext/>
      <w:keepLines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spacing w:before="320" w:after="80" w:line="240" w:lineRule="auto"/>
      <w:keepNext/>
      <w:keepLines/>
      <w:outlineLvl w:val="0"/>
      <w:jc w:val="left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1"/>
      <w:jc w:val="left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2"/>
      <w:jc w:val="left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3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4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spacing w:before="240" w:after="80" w:line="240" w:lineRule="auto"/>
      <w:keepNext/>
      <w:keepLines/>
      <w:outlineLvl w:val="5"/>
      <w:jc w:val="left"/>
    </w:pPr>
    <w:rPr>
      <w:rFonts w:ascii="Times New Roman" w:hAnsi="Times New Roman" w:eastAsia="Times New Roman" w:cs="Times New Roman"/>
      <w:i/>
      <w:iCs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60" w:line="276" w:lineRule="auto"/>
      <w:ind w:firstLine="0" w:left="480" w:right="480"/>
      <w:jc w:val="both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sz w:val="20"/>
      <w:szCs w:val="20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lePageLine">
    <w:name w:val="TitlePageLine"/>
    <w:basedOn w:val="Normal"/>
    <w:qFormat/>
    <w:pPr>
      <w:spacing w:before="0" w:after="60" w:line="240" w:lineRule="auto"/>
      <w:jc w:val="left"/>
    </w:pPr>
    <w:rPr>
      <w:rFonts w:ascii="Times New Roman" w:hAnsi="Times New Roman" w:eastAsia="Times New Roman" w:cs="Times New Roman"/>
      <w:sz w:val="22"/>
      <w:szCs w:val="22"/>
    </w:rPr>
  </w:style>
  <w:style w:type="paragraph" w:customStyle="1" w:styleId="FigureImage">
    <w:name w:val="FigureImage"/>
    <w:basedOn w:val="Normal"/>
    <w:qFormat/>
    <w:pPr>
      <w:keepNext/>
      <w:spacing w:before="240" w:after="80" w:line="240" w:lineRule="auto"/>
      <w:jc w:val="center"/>
    </w:pPr>
  </w:style>
  <w:style w:type="paragraph" w:customStyle="1" w:styleId="FigureLegend">
    <w:name w:val="FigureLegend"/>
    <w:basedOn w:val="Normal"/>
    <w:qFormat/>
    <w:pPr>
      <w:spacing w:before="0" w:after="280" w:line="240" w:lineRule="auto"/>
      <w:ind w:left="284" w:right="284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PeakATail - Additional file 1: Supplementary figure legends</dc:title>
  <dc:creator>Amir Amiri Tabat; Yasin Kaymaz</dc:creator>
  <cp:keywords/>
  <dcterms:created xsi:type="dcterms:W3CDTF">2026-09-10T12:41:18Z</dcterms:created>
  <dcterms:modified xsi:type="dcterms:W3CDTF">2026-09-10T12:41:18Z</dcterms:modified>
  <dc:description>Built from manuscript/00_draft by submission/4_BUILD/build.sh; content unaltered.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