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Alternative polyadenylation (APA) remodels 3′UTRs across cell types, yet single-cell poly(A)-site (PAS) calls are rarely scored against independent truth and differential tests are rarely calibrated.</w:t>
      </w:r>
    </w:p>
    <w:p>
      <w:pPr>
        <w:pStyle w:val="BodyText"/>
      </w:pPr>
      <w:r>
        <w:rPr>
          <w:b/>
        </w:rPr>
        <w:t xml:space="preserve">Results:</w:t>
      </w:r>
      <w:r>
        <w:t xml:space="preserve"> </w:t>
      </w:r>
      <w:r>
        <w:t xml:space="preserve">PeakATail seeds PAS from non-templated poly(A)-tail reads, tiers them by molecule-counted clip support, filters internal priming, and adds a calibrated, replication-filtered switch test. Its pre-registered default reaches atlas-agreement precision (curated PolyASite 2.0, 100 bp) of 0.706 (PBMC), 0.745/0.757 (two mice) and, un-tuned, 0.828 (second human donor)—gate P ≥ 0.50 passed on all four libraries, gene-body-shuffled nulls 0.013–0.022—the most atlas-concordant de novo call set on both benchmark datasets. Detected-gene recall (R_det) at this conservative point is 0.175–0.208 on the three benchmarked libraries — below polyApipe's — and 0.110 on the second donor (denominators: 285,136 / 126,686 / 268,097 atlas sites in detected genes), though at matched call count PeakATail leads polyApipe on recall at every budget tested and on precision at every budget from 20,320 calls upward. 76.5% of default PBMC sites match a poly(A)-verified, donor-mismatched Kinnex long-read 3′ end within 25 bp (≥5 records). Only one of six switch-test configurations—Fisher on cells, no marker pre-selection—controls the false-discovery rate (3.0% label-shuffled p &lt; 0.05; shipped defaults 13.0–24.7%). In 15 libraries from 12 lung-cancer patients, 15,942 of 2,128,711 switch hypotheses replicated across patients—none in ten label-shuffle nulls (empirical p ≤ 0.091, the ten-permutation floor); in testis, 31.4%/30.5% of depth-guarded genes shorten 3′UTRs monotonically along spermatogenesis in both mice (z = 10.5/6.4). A pre-registered "trusted novel PAS" definition reached 48.5% against a 70% long-read target—a reported negative result. A 10k-cell library runs in 12.53 GB peak memory.</w:t>
      </w:r>
    </w:p>
    <w:p>
      <w:pPr>
        <w:pStyle w:val="BodyText"/>
      </w:pPr>
      <w:r>
        <w:rPr>
          <w:b/>
        </w:rPr>
        <w:t xml:space="preserve">Conclusions:</w:t>
      </w:r>
      <w:r>
        <w:t xml:space="preserve"> </w:t>
      </w:r>
      <w:r>
        <w:t xml:space="preserve">Pre-registered gates, calibrated tests and null-disciplined replication make single-cell APA auditable—failures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axis—curated-atlas benchmarking rewards atlas-shaped priors. The pre-registration timeline that makes these outcomes auditable is Supplementary Fig S11.</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 alternative polyadenylation (APA) — rewrites the transcript's 3' untranslated region, changing its stability, localization and translational output [[CITE: review of APA mechanisms and functional consequences]]. The choice tracks cell state: proliferating and transformed cells favour proximal sites and shorter 3'UTRs [[CITE: 3'UTR shortening in proliferating and transformed cells]], and differentiation programs — spermatogenesis above all — remodel 3'-end usage wholesale [[CITE: APA remodelling during spermatogenesis]].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[[CITE: internal-priming artefacts in oligo(dT)-primed sequencing]];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[[CITE: Sierra paper]], and scAPAtrap combines coverage peak finding with poly(A)-tail-anchored reads to sharpen peaks toward nucleotide resolution [[CITE: scAPAtrap paper]]. Read-evidence callers require a signature of cleavage in the reads themselves: polyApipe groups reads carrying non-templated poly(A) soft clips into poly(A)-site ranges [[CITE: polyApipe paper]]; SCAPTURE calls peaks de novo and then evaluates them with the DeepPASS deep-learning sequence classifier [[CITE: SCAPTURE paper]]; and scTail reads the cleavage position directly from the cDNA end of read 1, filtered by a pretrained sequence model, in library types that preserve a cDNA-bearing read 1 [[CITE: scTail paper]]. Catalog-based methods sidestep de novo calling altogether: scUTRquant quantifies against a curated, cleavage-site-augmented transcriptome, gaining positional fidelity at the price of seeing only catalogued sites [[CITE: scUTRquant paper]].</w:t>
      </w:r>
    </w:p>
    <w:p>
      <w:pPr>
        <w:pStyle w:val="BodyText"/>
      </w:pPr>
      <w:r>
        <w:t xml:space="preserve">What the ecosystem still largely lacks is a way of knowing how much of a PAS call set — and of the ranked switch list computed from it —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[[CITE: PolyASite 2.0 paper]] —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[[CITE: recent benchmarks of single-cell APA tools]]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ema</w:t>
      </w:r>
      <w:r>
        <w:t xml:space="preserve">) is built so that both gaps become measurable. It seeds PAS from direct poly(A) evidence — reads whose non-templated poly(A) soft clips record cleavage and polyadenylation on the individual molecule — a channel that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[[CITE: Kinnex paper]])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 under pre-registered gates, a shuffled-null discipline and an atlas-independent long-read check —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 the identical clip test applied at the read's opposite (wrong) end fires ~92× less often —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FigureImage"/>
      </w:pPr>
      <w:r>
        <w:drawing>
          <wp:inline>
            <wp:extent cx="5852160" cy="6520742"/>
            <wp:effectExtent b="0" l="0" r="0" t="0"/>
            <wp:docPr descr="" title="" id="1" name="Picture"/>
            <a:graphic>
              <a:graphicData uri="http://schemas.openxmlformats.org/drawingml/2006/picture">
                <pic:pic>
                  <pic:nvPicPr>
                    <pic:cNvPr descr="/mnt/ssd1/Projects/PeakATail_wd/manuscript/figures/fig1_overview.png" id="0" name="Picture"/>
                    <pic:cNvPicPr>
                      <a:picLocks noChangeArrowheads="1" noChangeAspect="1"/>
                    </pic:cNvPicPr>
                  </pic:nvPicPr>
                  <pic:blipFill>
                    <a:blip r:embed="rId25"/>
                    <a:stretch>
                      <a:fillRect/>
                    </a:stretch>
                  </pic:blipFill>
                  <pic:spPr bwMode="auto">
                    <a:xfrm>
                      <a:off x="0" y="0"/>
                      <a:ext cx="5852160" cy="6520742"/>
                    </a:xfrm>
                    <a:prstGeom prst="rect">
                      <a:avLst/>
                    </a:prstGeom>
                    <a:noFill/>
                    <a:ln w="9525">
                      <a:noFill/>
                      <a:headEnd/>
                      <a:tailEnd/>
                    </a:ln>
                  </pic:spPr>
                </pic:pic>
              </a:graphicData>
            </a:graphic>
          </wp:inline>
        </w:drawing>
      </w:r>
    </w:p>
    <w:p>
      <w:pPr>
        <w:pStyle w:val="FigureLegend"/>
      </w:pPr>
      <w:r>
        <w:rPr>
          <w:b/>
        </w:rPr>
        <w:t xml:space="preserve">Fig 1 | How PeakATail finds the 3′ ends of transcripts in single cells, and what it gives you.</w:t>
      </w:r>
      <w:r>
        <w:t xml:space="preserve"> </w:t>
      </w:r>
      <w:r>
        <w:t xml:space="preserve">All four panels are schematics drawn to explain the method: no panel plots a data series, and every quantity a panel stands for is measured by the figure's script and written to its audit table (code 9dfdefb; PBMC 10k v3 arm).</w:t>
      </w:r>
      <w:r>
        <w:t xml:space="preserve"> </w:t>
      </w:r>
      <w:r>
        <w:rPr>
          <w:b/>
        </w:rPr>
        <w:t xml:space="preserve">(a)</w:t>
      </w:r>
      <w:r>
        <w:t xml:space="preserve"> </w:t>
      </w:r>
      <w: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t xml:space="preserve"> </w:t>
      </w:r>
      <w:r>
        <w:rPr>
          <w:b/>
        </w:rPr>
        <w:t xml:space="preserve">(b)</w:t>
      </w:r>
      <w:r>
        <w:t xml:space="preserve"> </w:t>
      </w:r>
      <w: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t xml:space="preserve"> </w:t>
      </w:r>
      <w:r>
        <w:rPr>
          <w:b/>
        </w:rPr>
        <w:t xml:space="preserve">(c)</w:t>
      </w:r>
      <w:r>
        <w:t xml:space="preserve"> </w:t>
      </w:r>
      <w: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t xml:space="preserve"> </w:t>
      </w:r>
      <w:r>
        <w:rPr>
          <w:b/>
        </w:rPr>
        <w:t xml:space="preserve">(d)</w:t>
      </w:r>
      <w:r>
        <w:t xml:space="preserve"> </w:t>
      </w:r>
      <w:r>
        <w:t xml:space="preserve">The kept sites are counted in every cell and compared between cell types with the one test configuration that holds its false-positive rate (3.0% of label-shuffled tests p &lt; 0.05, 0 of 20 null runs with a q &lt; 0.05 hit), reporting only switches that replicate across biological units. Caveats that travel: atlas agreement is agreement with a curated atlas, not ground truth —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is under revision, tool issue #99, so no gene-level claim is made here); neither rule the figure names is a shipped command-line default —</w:t>
      </w:r>
      <w:r>
        <w:t xml:space="preserve"> </w:t>
      </w:r>
      <w:r>
        <w:rPr>
          <w:rStyle w:val="VerbatimChar"/>
        </w:rPr>
        <w:t xml:space="preserve">--polya-min-umis</w:t>
      </w:r>
      <w:r>
        <w:t xml:space="preserve"> </w:t>
      </w:r>
      <w:r>
        <w:t xml:space="preserve">is 1 at the caller and ≥2 molecules is the pre-registered</w:t>
      </w:r>
      <w:r>
        <w:t xml:space="preserve"> </w:t>
      </w:r>
      <w:r>
        <w:rPr>
          <w:i/>
        </w:rPr>
        <w:t xml:space="preserve">output</w:t>
      </w:r>
      <w:r>
        <w:t xml:space="preserve">, while the genome check is the opt-in</w:t>
      </w:r>
      <w:r>
        <w:t xml:space="preserve"> </w:t>
      </w:r>
      <w:r>
        <w:rPr>
          <w:rStyle w:val="VerbatimChar"/>
        </w:rPr>
        <w:t xml:space="preserve">--ip-filter</w:t>
      </w:r>
      <w:r>
        <w:t xml:space="preserve">, run here in filtering mode, so the figure labels this the trusted set and not the default; and the four panels are schematics that must not be read as data — the evidence for every claim they make is in Figs 2 and 3 (accuracy, resolution and reproducibility), Fig 4 (calibration) and the audit tables.</w:t>
      </w:r>
    </w:p>
    <w:p>
      <w:pPr>
        <w:pStyle w:val="BodyText"/>
      </w:pPr>
      <w:r>
        <w:t xml:space="preserve">Fig 1 shows what the scarcity buys. On PBMC 10k v3 (CellRanger 3.0.0 [[CITE: CellRanger paper]]),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 agreement with a strand-matched PolyASite 2.0 representative site [[CITE: PolyASite 2.0 paper]], not ground truth —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FigureImage"/>
      </w:pPr>
      <w:r>
        <w:drawing>
          <wp:inline>
            <wp:extent cx="5852160" cy="5323897"/>
            <wp:effectExtent b="0" l="0" r="0" t="0"/>
            <wp:docPr descr="" title="" id="1" name="Picture"/>
            <a:graphic>
              <a:graphicData uri="http://schemas.openxmlformats.org/drawingml/2006/picture">
                <pic:pic>
                  <pic:nvPicPr>
                    <pic:cNvPr descr="/mnt/ssd1/Projects/PeakATail_wd/manuscript/figures/fig2_accuracy.png" id="0" name="Picture"/>
                    <pic:cNvPicPr>
                      <a:picLocks noChangeArrowheads="1" noChangeAspect="1"/>
                    </pic:cNvPicPr>
                  </pic:nvPicPr>
                  <pic:blipFill>
                    <a:blip r:embed="rId26"/>
                    <a:stretch>
                      <a:fillRect/>
                    </a:stretch>
                  </pic:blipFill>
                  <pic:spPr bwMode="auto">
                    <a:xfrm>
                      <a:off x="0" y="0"/>
                      <a:ext cx="5852160" cy="5323897"/>
                    </a:xfrm>
                    <a:prstGeom prst="rect">
                      <a:avLst/>
                    </a:prstGeom>
                    <a:noFill/>
                    <a:ln w="9525">
                      <a:noFill/>
                      <a:headEnd/>
                      <a:tailEnd/>
                    </a:ln>
                  </pic:spPr>
                </pic:pic>
              </a:graphicData>
            </a:graphic>
          </wp:inline>
        </w:drawing>
      </w:r>
    </w:p>
    <w:p>
      <w:pPr>
        <w:pStyle w:val="FigureLegend"/>
      </w:pPr>
      <w:r>
        <w:rPr>
          <w:b/>
        </w:rPr>
        <w:t xml:space="preserve">Fig 2 | Where PeakATail sits against the field, and what it costs at a matched call budget.</w:t>
      </w:r>
      <w:r>
        <w:t xml:space="preserve"> </w:t>
      </w:r>
      <w:r>
        <w:t xml:space="preserve">One scorer and identical denominators for every tool; 3-seed gene-body-shuffled nulls; PeakATail code 9dfdefb.</w:t>
      </w:r>
      <w:r>
        <w:t xml:space="preserve"> </w:t>
      </w:r>
      <w:r>
        <w:rPr>
          <w:b/>
        </w:rPr>
        <w:t xml:space="preserve">(a)</w:t>
      </w:r>
      <w:r>
        <w:t xml:space="preserve"> </w:t>
      </w:r>
      <w:r>
        <w:t xml:space="preserve">PBMC 10k v3: atlas-agreement precision at 100 bp against detected-gene recall (R_det) at 100 bp. Competitors sit at their own operating points; the light line is PeakATail's molecule-support operating curve on the internal-priming-filtered arms —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t xml:space="preserve"> </w:t>
      </w:r>
      <w:r>
        <w:rPr>
          <w:b/>
        </w:rPr>
        <w:t xml:space="preserve">(b)</w:t>
      </w:r>
      <w:r>
        <w:t xml:space="preserve"> </w:t>
      </w:r>
      <w:r>
        <w:t xml:space="preserve">GSE104556 testis, the same plane, with competitor markers and the two named points as the mean of the two mice with range bars and the curve as the two-mouse mean (precision 0.578 → 0.889 at R_det 0.282 → 0.100).</w:t>
      </w:r>
      <w:r>
        <w:t xml:space="preserve"> </w:t>
      </w:r>
      <w:r>
        <w:rPr>
          <w:b/>
        </w:rPr>
        <w:t xml:space="preserve">(c, d)</w:t>
      </w:r>
      <w:r>
        <w:t xml:space="preserve"> </w:t>
      </w:r>
      <w:r>
        <w:t xml:space="preserve">The same tools at a</w:t>
      </w:r>
      <w:r>
        <w:t xml:space="preserve"> </w:t>
      </w:r>
      <w:r>
        <w:rPr>
          <w:b/>
        </w:rPr>
        <w:t xml:space="preserve">matched call budget</w:t>
      </w:r>
      <w:r>
        <w:t xml:space="preserve"> </w:t>
      </w:r>
      <w:r>
        <w:t xml:space="preserve">on PBMC 10k v3</w:t>
      </w:r>
      <w:r>
        <w:t xml:space="preserve"> </w:t>
      </w:r>
      <w:r>
        <w:rPr>
          <w:b/>
        </w:rPr>
        <w:t xml:space="preserve">(c)</w:t>
      </w:r>
      <w:r>
        <w:t xml:space="preserve"> </w:t>
      </w:r>
      <w:r>
        <w:t xml:space="preserve">and testis mouse 1</w:t>
      </w:r>
      <w:r>
        <w:t xml:space="preserve"> </w:t>
      </w:r>
      <w:r>
        <w:rPr>
          <w:b/>
        </w:rPr>
        <w:t xml:space="preserve">(d)</w:t>
      </w:r>
      <w: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t xml:space="preserve"> </w:t>
      </w:r>
      <w:r>
        <w:rPr>
          <w:b/>
        </w:rPr>
        <w:t xml:space="preserve">de novo</w:t>
      </w:r>
      <w:r>
        <w:t xml:space="preserve"> </w:t>
      </w:r>
      <w:r>
        <w:t xml:space="preserve">tools only —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Heading2"/>
      </w:pPr>
      <w:bookmarkStart w:id="27" w:name="X20dea0cc46c558ff6edc11bc9e9d8d89446362e"/>
      <w:r>
        <w:t xml:space="preserve">2.2 Accuracy against the field, under a gate committed before the run</w:t>
      </w:r>
      <w:bookmarkEnd w:id="27"/>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 denominators 285,136 sites (PBMC 10k v3) and 126,686 (GSE104556 testis; STARsolo [[CITE: STARsolo paper]];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Against the de novo field — polyApipe [[CITE: polyApipe paper]], Sierra [[CITE: Sierra paper]], scAPAtrap [[CITE: scAPAtrap paper]] and SCAPTURE [[CITE: SCAPTURE paper]], with catalog-based scUTRquant [[CITE: scUTRquant paper]] shown but not ranked — call-set sizes span 35,759 to 787,138 (22×), and both precision and recall move with call budget, so a single-point comparison measures the operating point, not the tool. (scTail [[CITE: scTail paper]]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 at polyApipe's own N of 120,916, 0.4036 / 0.2336 against 0.3800 / 0.1988 —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 below N ≈ 15,000 polyApipe's atlas-agreement precision is the higher of the two —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[[CITE: Kinnex paper]]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 46,524 versus 120,916 calls, so the call-budget caveat applies here as everywhere. The default's residual error is not internal priming —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8" w:name="X77774ed916f29262a7e3c2d2006f114ba6a5a0b"/>
      <w:r>
        <w:t xml:space="preserve">2.3 The trade surface: resolution, reproducibility across libraries, and compute</w:t>
      </w:r>
      <w:bookmarkEnd w:id="28"/>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FigureImage"/>
      </w:pPr>
      <w:r>
        <w:drawing>
          <wp:inline>
            <wp:extent cx="5852160" cy="5447708"/>
            <wp:effectExtent b="0" l="0" r="0" t="0"/>
            <wp:docPr descr="" title="" id="1" name="Picture"/>
            <a:graphic>
              <a:graphicData uri="http://schemas.openxmlformats.org/drawingml/2006/picture">
                <pic:pic>
                  <pic:nvPicPr>
                    <pic:cNvPr descr="/mnt/ssd1/Projects/PeakATail_wd/manuscript/figures/fig3_tradeoff.png" id="0" name="Picture"/>
                    <pic:cNvPicPr>
                      <a:picLocks noChangeArrowheads="1" noChangeAspect="1"/>
                    </pic:cNvPicPr>
                  </pic:nvPicPr>
                  <pic:blipFill>
                    <a:blip r:embed="rId29"/>
                    <a:stretch>
                      <a:fillRect/>
                    </a:stretch>
                  </pic:blipFill>
                  <pic:spPr bwMode="auto">
                    <a:xfrm>
                      <a:off x="0" y="0"/>
                      <a:ext cx="5852160" cy="5447708"/>
                    </a:xfrm>
                    <a:prstGeom prst="rect">
                      <a:avLst/>
                    </a:prstGeom>
                    <a:noFill/>
                    <a:ln w="9525">
                      <a:noFill/>
                      <a:headEnd/>
                      <a:tailEnd/>
                    </a:ln>
                  </pic:spPr>
                </pic:pic>
              </a:graphicData>
            </a:graphic>
          </wp:inline>
        </w:drawing>
      </w:r>
    </w:p>
    <w:p>
      <w:pPr>
        <w:pStyle w:val="FigureLegend"/>
      </w:pPr>
      <w:r>
        <w:rPr>
          <w:b/>
        </w:rPr>
        <w:t xml:space="preserve">Fig 3 | Robustness: matching-window resolution, replicate reproducibility and compute.</w:t>
      </w:r>
      <w:r>
        <w:t xml:space="preserve"> </w:t>
      </w:r>
      <w:r>
        <w:rPr>
          <w:b/>
        </w:rPr>
        <w:t xml:space="preserve">(a, b)</w:t>
      </w:r>
      <w:r>
        <w:t xml:space="preserve"> </w:t>
      </w:r>
      <w:r>
        <w:t xml:space="preserve">Matching-window sensitivity on PBMC 10k v3 — atlas-agreement precision</w:t>
      </w:r>
      <w:r>
        <w:t xml:space="preserve"> </w:t>
      </w:r>
      <w:r>
        <w:rPr>
          <w:b/>
        </w:rPr>
        <w:t xml:space="preserve">(a)</w:t>
      </w:r>
      <w:r>
        <w:t xml:space="preserve"> </w:t>
      </w:r>
      <w:r>
        <w:t xml:space="preserve">and detected-gene recall R_det</w:t>
      </w:r>
      <w:r>
        <w:t xml:space="preserve"> </w:t>
      </w:r>
      <w:r>
        <w:rPr>
          <w:b/>
        </w:rPr>
        <w:t xml:space="preserve">(b)</w:t>
      </w:r>
      <w:r>
        <w:t xml:space="preserve"> </w:t>
      </w:r>
      <w: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t xml:space="preserve"> </w:t>
      </w:r>
      <w:r>
        <w:rPr>
          <w:b/>
        </w:rPr>
        <w:t xml:space="preserve">(c)</w:t>
      </w:r>
      <w:r>
        <w:t xml:space="preserve"> </w:t>
      </w:r>
      <w:r>
        <w:t xml:space="preserve">Replicate agreement: the fraction of one replicate's call set with a strand-matched call in the other within 100 bp, both directions, with the ≤25 bp value as a diamond. Biological replicates (top block), the two GSE104556 testis mice — default 0.776–0.779 at 100 bp and 0.729–0.737 at 25 bp against the ≥1-molecule arm's 0.636–0.651, so the ≥2-molecule threshold buys 14.3 / 12.5 points of replicate agreement. Human donors (bottom block), the pre-registered second-donor comparison — 84.2% of donor-2 default calls reproduce within 100 bp in donor 1 (81.3% at 25 bp); the reverse direction, 39.9%, is capped by call-count arithmetic and not by disagreement, because donor 1 emits 46,524 default calls to donor 2's 20,672, a ceiling of 0.4443 marked by the ceiling tick.</w:t>
      </w:r>
      <w:r>
        <w:t xml:space="preserve"> </w:t>
      </w:r>
      <w:r>
        <w:rPr>
          <w:b/>
        </w:rPr>
        <w:t xml:space="preserve">(d)</w:t>
      </w:r>
      <w:r>
        <w:t xml:space="preserve"> </w:t>
      </w:r>
      <w:r>
        <w:t xml:space="preserve">Compute on the PBMC 10k v3 BAM, log–log: the current caller (34:37, 12.53 GB) beside the five competitors' own verified runs on the same machine. Caveats that travel: chance agreement in panel c is ≤0.010 —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t xml:space="preserve"> </w:t>
      </w:r>
      <w:r>
        <w:rPr>
          <w:i/>
        </w:rPr>
        <w:t xml:space="preserve">without</w:t>
      </w:r>
      <w:r>
        <w:t xml:space="preserve"> </w:t>
      </w:r>
      <w:r>
        <w:t xml:space="preserve">the internal-priming filter — the like-for-like pair with v1's 3:45:53 / 293.7 GB, i.e. 23.5× less peak memory, so no ≥300 GB node is needed — and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 a 10x 3′ v2-chemistry, CellRanger 2.1.0, 98-bp library — with 107 of 108 recorded parameters identical and only the read-length descriptor moving (91 → 98). The unchanged gate passed — atlas-agreement P@100 0.8279 (n 20,672) — and now holds on four independent libraries (0.7062 / 0.8279 / 0.7450 / 0.7572). One caveat travels with that number: precision generalises, it does not improve. The fixed rule simply lands at a more conservative point on the shallower v2 library — donor 1's default, cut to donor 2's call count by any route (its own clip-molecule ranking under both tie-breaks, or a ≥4/≥5-molecule threshold), scores 0.886–0.907 and is above donor 2 on both axes — and donor 2's R_det is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 donor 1 emits 46,524 default calls to donor 2's 20,672 — and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 the ≥300 GB node requirement is gone — and wall time 3:45:53 → 34:37 on the like-for-like pair (the clip-seeded arm without the internal-priming filter); the v2 wall time was measured with all four benchmark arms running concurrently (~28–35 min; uncontended single run, 27:43). At cohort scale — 17 libraries from 14 patients, ~224 GB of BAM —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 long reads from a different donor, with un-deduplicated record support, so "not corroborated" is not "not real" and the fraction contextualises the denominator without bounding what is real — and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30" w:name="X3e09469c8b856eb20eb9d08b33ef3a45cdfaf72"/>
      <w:r>
        <w:t xml:space="preserve">2.4 The switch test is calibrated because the shipped defaults were not</w:t>
      </w:r>
      <w:bookmarkEnd w:id="30"/>
    </w:p>
    <w:p>
      <w:pPr>
        <w:pStyle w:val="FirstParagraph"/>
      </w:pPr>
      <w:r>
        <w:t xml:space="preserve">Before reporting a single switch we asked whether</w:t>
      </w:r>
      <w:r>
        <w:t xml:space="preserve"> </w:t>
      </w:r>
      <w:r>
        <w:rPr>
          <w:rStyle w:val="VerbatimChar"/>
        </w:rPr>
        <w:t xml:space="preserve">ema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the shipped top-200 Wilcoxon marker pre-selection on and off.</w:t>
      </w:r>
    </w:p>
    <w:p>
      <w:pPr>
        <w:pStyle w:val="FigureImage"/>
      </w:pPr>
      <w:r>
        <w:drawing>
          <wp:inline>
            <wp:extent cx="5852160" cy="2740362"/>
            <wp:effectExtent b="0" l="0" r="0" t="0"/>
            <wp:docPr descr="" title="" id="1" name="Picture"/>
            <a:graphic>
              <a:graphicData uri="http://schemas.openxmlformats.org/drawingml/2006/picture">
                <pic:pic>
                  <pic:nvPicPr>
                    <pic:cNvPr descr="/mnt/ssd1/Projects/PeakATail_wd/manuscript/figures/fig4_calibration.png" id="0" name="Picture"/>
                    <pic:cNvPicPr>
                      <a:picLocks noChangeArrowheads="1" noChangeAspect="1"/>
                    </pic:cNvPicPr>
                  </pic:nvPicPr>
                  <pic:blipFill>
                    <a:blip r:embed="rId31"/>
                    <a:stretch>
                      <a:fillRect/>
                    </a:stretch>
                  </pic:blipFill>
                  <pic:spPr bwMode="auto">
                    <a:xfrm>
                      <a:off x="0" y="0"/>
                      <a:ext cx="5852160" cy="2740362"/>
                    </a:xfrm>
                    <a:prstGeom prst="rect">
                      <a:avLst/>
                    </a:prstGeom>
                    <a:noFill/>
                    <a:ln w="9525">
                      <a:noFill/>
                      <a:headEnd/>
                      <a:tailEnd/>
                    </a:ln>
                  </pic:spPr>
                </pic:pic>
              </a:graphicData>
            </a:graphic>
          </wp:inline>
        </w:drawing>
      </w:r>
    </w:p>
    <w:p>
      <w:pPr>
        <w:pStyle w:val="FigureLegend"/>
      </w:pPr>
      <w:r>
        <w:rPr>
          <w:b/>
        </w:rPr>
        <w:t xml:space="preserve">Fig 4 | Which switch-test configurations control the false-discovery rate under label permutation.</w:t>
      </w:r>
      <w:r>
        <w:t xml:space="preserve"> </w:t>
      </w:r>
      <w:r>
        <w:t xml:space="preserve">Each row is one configuration a user chooses on the command line: statistical test × count unit (</w:t>
      </w:r>
      <w:r>
        <w:rPr>
          <w:rStyle w:val="VerbatimChar"/>
        </w:rPr>
        <w:t xml:space="preserve">--count-mode reads|cells</w:t>
      </w:r>
      <w:r>
        <w:t xml:space="preserve">) × marker pre-selection (</w:t>
      </w:r>
      <w:r>
        <w:rPr>
          <w:rStyle w:val="VerbatimChar"/>
        </w:rPr>
        <w:t xml:space="preserve">--marker-top-n 200</w:t>
      </w:r>
      <w:r>
        <w:t xml:space="preserve">, the shipped default, or</w:t>
      </w:r>
      <w:r>
        <w:t xml:space="preserve"> </w:t>
      </w:r>
      <w:r>
        <w:rPr>
          <w:rStyle w:val="VerbatimChar"/>
        </w:rPr>
        <w:t xml:space="preserve">0</w:t>
      </w:r>
      <w:r>
        <w:t xml:space="preserve">). All six are scored against the same label-permutation null run through the identical pipeline — testis mouse 1, 1,230 cells with expression-derived stage labels orthogonal to the PAS matrix under test (SPC 370 / RS 504 / ES 356), 76,711 PAS, three stage pairs, 20 permutations shared identically across configurations, the full</w:t>
      </w:r>
      <w:r>
        <w:t xml:space="preserve"> </w:t>
      </w:r>
      <w:r>
        <w:rPr>
          <w:rStyle w:val="VerbatimChar"/>
        </w:rPr>
        <w:t xml:space="preserve">ema switch diff</w:t>
      </w:r>
      <w:r>
        <w:t xml:space="preserve"> </w:t>
      </w:r>
      <w:r>
        <w:t xml:space="preserve">pipeline re-run per permutation — so the score is a property of the configuration, not of one dataset.</w:t>
      </w:r>
      <w:r>
        <w:t xml:space="preserve"> </w:t>
      </w:r>
      <w:r>
        <w:rPr>
          <w:b/>
        </w:rPr>
        <w:t xml:space="preserve">(a)</w:t>
      </w:r>
      <w:r>
        <w:t xml:space="preserve"> </w:t>
      </w:r>
      <w:r>
        <w:t xml:space="preserve">The share of null tests reaching p &lt; 0.05 in each configuration against the 5% an honest null produces (vertical rule); the stem runs from that reference to the observed rate, so its length and side are the size and the sign of the miscalibration.</w:t>
      </w:r>
      <w:r>
        <w:t xml:space="preserve"> </w:t>
      </w:r>
      <w:r>
        <w:rPr>
          <w:b/>
        </w:rPr>
        <w:t xml:space="preserve">(b)</w:t>
      </w:r>
      <w:r>
        <w:t xml:space="preserve"> </w:t>
      </w:r>
      <w:r>
        <w:t xml:space="preserve">False calls made by a</w:t>
      </w:r>
      <w:r>
        <w:t xml:space="preserve"> </w:t>
      </w:r>
      <w:r>
        <w:rPr>
          <w:i/>
        </w:rPr>
        <w:t xml:space="preserve">single</w:t>
      </w:r>
      <w:r>
        <w:t xml:space="preserve"> </w:t>
      </w:r>
      <w:r>
        <w:t xml:space="preserve">null run: one dot per label permutation (20 per configuration), bar = median, symmetric-log axis so exact zeros are drawn at 0.</w:t>
      </w:r>
      <w:r>
        <w:t xml:space="preserve"> </w:t>
      </w:r>
      <w:r>
        <w:rPr>
          <w:b/>
        </w:rPr>
        <w:t xml:space="preserve">(c)</w:t>
      </w:r>
      <w:r>
        <w:t xml:space="preserve"> </w:t>
      </w:r>
      <w:r>
        <w:t xml:space="preserve">The cost in the real, unpermuted comparison —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shipped top-200 marker pre-selection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 conservative rather than exact. Caveats that travel: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 Fisher on cells with pre-selection off: 3.0% null p &lt; 0.05, 0.00% null q &lt; 0.05, no q &lt; 0.05 call in any of 20 null runs —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 markers are chosen on the labels under test, and restricting the calibrated configuration's null p-values to PAS selected on permuted labels reproduces the inflation (17.4%) — and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ships Fisher on cells with pre-selection off (</w:t>
      </w:r>
      <w:r>
        <w:rPr>
          <w:rStyle w:val="VerbatimChar"/>
        </w:rPr>
        <w:t xml:space="preserve">--marker-top-n 0</w:t>
      </w:r>
      <w:r>
        <w:t xml:space="preserve">, nominal Benjamini–Hochberg q [[CITE: Benjamini–Hochberg FDR procedure]]) as its only default, and requires permutation-calibrated q whenever pre-selection or the negative-binomial test is used (Fig S9d).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32" w:name="X7e1f3d3075237f6eab559c0a6267668a6c1c183"/>
      <w:r>
        <w:t xml:space="preserve">2.5 A biological control with its own nulls: the spermatogenesis gradient</w:t>
      </w:r>
      <w:bookmarkEnd w:id="32"/>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[[CITE: mouse spermatogenesis 10x scRNA-seq dataset GSE104556]]:</w:t>
      </w:r>
    </w:p>
    <w:p>
      <w:pPr>
        <w:pStyle w:val="FigureImage"/>
      </w:pPr>
      <w:r>
        <w:drawing>
          <wp:inline>
            <wp:extent cx="5852160" cy="5819143"/>
            <wp:effectExtent b="0" l="0" r="0" t="0"/>
            <wp:docPr descr="" title="" id="1" name="Picture"/>
            <a:graphic>
              <a:graphicData uri="http://schemas.openxmlformats.org/drawingml/2006/picture">
                <pic:pic>
                  <pic:nvPicPr>
                    <pic:cNvPr descr="/mnt/ssd1/Projects/PeakATail_wd/manuscript/figures/fig5_spermatogenesis.png" id="0" name="Picture"/>
                    <pic:cNvPicPr>
                      <a:picLocks noChangeArrowheads="1" noChangeAspect="1"/>
                    </pic:cNvPicPr>
                  </pic:nvPicPr>
                  <pic:blipFill>
                    <a:blip r:embed="rId33"/>
                    <a:stretch>
                      <a:fillRect/>
                    </a:stretch>
                  </pic:blipFill>
                  <pic:spPr bwMode="auto">
                    <a:xfrm>
                      <a:off x="0" y="0"/>
                      <a:ext cx="5852160" cy="5819143"/>
                    </a:xfrm>
                    <a:prstGeom prst="rect">
                      <a:avLst/>
                    </a:prstGeom>
                    <a:noFill/>
                    <a:ln w="9525">
                      <a:noFill/>
                      <a:headEnd/>
                      <a:tailEnd/>
                    </a:ln>
                  </pic:spPr>
                </pic:pic>
              </a:graphicData>
            </a:graphic>
          </wp:inline>
        </w:drawing>
      </w:r>
    </w:p>
    <w:p>
      <w:pPr>
        <w:pStyle w:val="FigureLegend"/>
      </w:pPr>
      <w:r>
        <w:rPr>
          <w:b/>
        </w:rPr>
        <w:t xml:space="preserve">Fig 5 | Per-gene 3′UTR usage shifts progressively proximal along spermatocyte (SPC) → round (RS) → elongating (ES) spermatid, in both mice.</w:t>
      </w:r>
      <w:r>
        <w:t xml:space="preserve"> </w:t>
      </w:r>
      <w: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t xml:space="preserve"> </w:t>
      </w:r>
      <w:r>
        <w:rPr>
          <w:b/>
        </w:rPr>
        <w:t xml:space="preserve">(a)</w:t>
      </w:r>
      <w:r>
        <w:t xml:space="preserve"> </w:t>
      </w:r>
      <w:r>
        <w:t xml:space="preserve">The claim carrier: the fraction of depth-guarded genes strictly monotone across the three stages, per mouse and per direction, with the 20 label-shuffle draws as grey dots (bar = null mean) and the true value as a filled marker —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t xml:space="preserve"> </w:t>
      </w:r>
      <w:r>
        <w:rPr>
          <w:b/>
        </w:rPr>
        <w:t xml:space="preserve">(b)</w:t>
      </w:r>
      <w:r>
        <w:t xml:space="preserve"> </w:t>
      </w:r>
      <w:r>
        <w:t xml:space="preserve">The composition-controlled per-cell index — for each cell, the mean over genes of (per-cell PDUI − that gene's three-stage pseudobulk PDUI) — falls at every step in both mice: Cliff's δ SPC vs RS 0.26 / 0.32, RS vs ES 0.41 / 0.46, SPC vs ES 0.55 / 0.63, against 20-shuffle null ranges of [−0.10, +0.11] and [−0.08, +0.07]. Violin = all cells, thick bar = interquartile range, whisker = 5th–95th percentile, open marker = median.</w:t>
      </w:r>
      <w:r>
        <w:t xml:space="preserve"> </w:t>
      </w:r>
      <w:r>
        <w:rPr>
          <w:b/>
        </w:rPr>
        <w:t xml:space="preserve">(c)</w:t>
      </w:r>
      <w:r>
        <w:t xml:space="preserve"> </w:t>
      </w:r>
      <w:r>
        <w:t xml:space="preserve">PAS called switching at q &lt; 0.05 in</w:t>
      </w:r>
      <w:r>
        <w:t xml:space="preserve"> </w:t>
      </w:r>
      <w:r>
        <w:rPr>
          <w:b/>
        </w:rPr>
        <w:t xml:space="preserve">both</w:t>
      </w:r>
      <w:r>
        <w:t xml:space="preserve"> </w:t>
      </w:r>
      <w: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t xml:space="preserve"> </w:t>
      </w:r>
      <w:r>
        <w:rPr>
          <w:b/>
        </w:rPr>
        <w:t xml:space="preserve">(d)</w:t>
      </w:r>
      <w:r>
        <w:t xml:space="preserve"> </w:t>
      </w:r>
      <w: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t xml:space="preserve"> </w:t>
      </w:r>
      <w:r>
        <w:rPr>
          <w:b/>
        </w:rPr>
        <w:t xml:space="preserve">(e, f)</w:t>
      </w:r>
      <w:r>
        <w:t xml:space="preserve"> </w:t>
      </w:r>
      <w:r>
        <w:t xml:space="preserve">Boxed negative results, not claim carriers.</w:t>
      </w:r>
      <w:r>
        <w:t xml:space="preserve"> </w:t>
      </w:r>
      <w:r>
        <w:rPr>
          <w:b/>
        </w:rPr>
        <w:t xml:space="preserve">(e)</w:t>
      </w:r>
      <w:r>
        <w:t xml:space="preserve"> </w:t>
      </w:r>
      <w:r>
        <w:t xml:space="preserve">The across-gene UMI-weighted per-cell distal index</w:t>
      </w:r>
      <w:r>
        <w:t xml:space="preserve"> </w:t>
      </w:r>
      <w:r>
        <w:rPr>
          <w:i/>
        </w:rPr>
        <w:t xml:space="preserve">rises</w:t>
      </w:r>
      <w:r>
        <w:t xml:space="preserve"> </w:t>
      </w:r>
      <w:r>
        <w:t xml:space="preserve">at RS → ES in both mice (0.587 → 0.572 → 0.627 and 0.640 → 0.636 → 0.672; Cliff's δ RS vs ES −0.93 / −0.87), because protamine transcripts alone carry 25.2% (mouse 1) and 14.5% (mouse 2) of the guarded ES UMIs at ceiling PDUI.</w:t>
      </w:r>
      <w:r>
        <w:t xml:space="preserve"> </w:t>
      </w:r>
      <w:r>
        <w:rPr>
          <w:b/>
        </w:rPr>
        <w:t xml:space="preserve">(f)</w:t>
      </w:r>
      <w:r>
        <w:t xml:space="preserve"> </w:t>
      </w:r>
      <w: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under revision in overlapping loci (tool issue #99), which is not excluded for individual panel verdicts; and the 3′UTR-scoped PDUI arm still cannot be produced (tool issue #98).</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 a label shuffle destroys ordered structure of either sign — so the direction-specific evidence is the excess of shortening over lengthening: strong in mouse 1 (binomial p 3.4e-9), clear in mouse 2 (p 0.0039; 0 of 40 null draws — one excess draw per shuffle per mouse, both mice's 20 shuffles pooled —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is under revision in overlapping loci (tool issue #99), so per-gene mis-assignment could contribute to individual panel verdicts. Replication here is two mice of one study and one chemistry — it controls animal-level noise, not protocol-level artefacts.</w:t>
      </w:r>
    </w:p>
    <w:p>
      <w:pPr>
        <w:pStyle w:val="Heading2"/>
      </w:pPr>
      <w:bookmarkStart w:id="34" w:name="X2d5e7693b5534ed0842618923718d8682f2392c"/>
      <w:r>
        <w:t xml:space="preserve">2.6 Reliable cell-type APA switches in a tumour cohort</w:t>
      </w:r>
      <w:bookmarkEnd w:id="34"/>
    </w:p>
    <w:p>
      <w:pPr>
        <w:pStyle w:val="FirstParagraph"/>
      </w:pPr>
      <w:r>
        <w:t xml:space="preserve">We then applied the same discipline where labels are noisier and effects smaller (Fig 6). The Laughney lung-adenocarcinoma cohort [[CITE: Laughney et al. lung adenocarcinoma scRNA-seq cohort]]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FigureImage"/>
      </w:pPr>
      <w:r>
        <w:drawing>
          <wp:inline>
            <wp:extent cx="5852160" cy="5406438"/>
            <wp:effectExtent b="0" l="0" r="0" t="0"/>
            <wp:docPr descr="" title="" id="1" name="Picture"/>
            <a:graphic>
              <a:graphicData uri="http://schemas.openxmlformats.org/drawingml/2006/picture">
                <pic:pic>
                  <pic:nvPicPr>
                    <pic:cNvPr descr="/mnt/ssd1/Projects/PeakATail_wd/manuscript/figures/fig6_cohort.png" id="0" name="Picture"/>
                    <pic:cNvPicPr>
                      <a:picLocks noChangeArrowheads="1" noChangeAspect="1"/>
                    </pic:cNvPicPr>
                  </pic:nvPicPr>
                  <pic:blipFill>
                    <a:blip r:embed="rId35"/>
                    <a:stretch>
                      <a:fillRect/>
                    </a:stretch>
                  </pic:blipFill>
                  <pic:spPr bwMode="auto">
                    <a:xfrm>
                      <a:off x="0" y="0"/>
                      <a:ext cx="5852160" cy="5406438"/>
                    </a:xfrm>
                    <a:prstGeom prst="rect">
                      <a:avLst/>
                    </a:prstGeom>
                    <a:noFill/>
                    <a:ln w="9525">
                      <a:noFill/>
                      <a:headEnd/>
                      <a:tailEnd/>
                    </a:ln>
                  </pic:spPr>
                </pic:pic>
              </a:graphicData>
            </a:graphic>
          </wp:inline>
        </w:drawing>
      </w:r>
    </w:p>
    <w:p>
      <w:pPr>
        <w:pStyle w:val="FigureLegend"/>
      </w:pPr>
      <w:r>
        <w:rPr>
          <w:b/>
        </w:rPr>
        <w:t xml:space="preserve">Fig 6 | Reliable cell-type APA switches in a tumour cohort.</w:t>
      </w:r>
      <w:r>
        <w:t xml:space="preserve"> </w:t>
      </w:r>
      <w: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t xml:space="preserve"> </w:t>
      </w:r>
      <w:r>
        <w:rPr>
          <w:b/>
        </w:rPr>
        <w:t xml:space="preserve">(a)</w:t>
      </w:r>
      <w:r>
        <w:t xml:space="preserve"> </w:t>
      </w:r>
      <w: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t xml:space="preserve"> </w:t>
      </w:r>
      <w:r>
        <w:rPr>
          <w:b/>
        </w:rPr>
        <w:t xml:space="preserve">zero</w:t>
      </w:r>
      <w:r>
        <w:t xml:space="preserve"> </w:t>
      </w:r>
      <w:r>
        <w:t xml:space="preserve">at every later stage.</w:t>
      </w:r>
      <w:r>
        <w:t xml:space="preserve"> </w:t>
      </w:r>
      <w:r>
        <w:rPr>
          <w:b/>
        </w:rPr>
        <w:t xml:space="preserve">(b)</w:t>
      </w:r>
      <w:r>
        <w:t xml:space="preserve"> </w:t>
      </w:r>
      <w: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t xml:space="preserve"> </w:t>
      </w:r>
      <w:r>
        <w:rPr>
          <w:b/>
        </w:rPr>
        <w:t xml:space="preserve">(c)</w:t>
      </w:r>
      <w:r>
        <w:t xml:space="preserve"> </w:t>
      </w:r>
      <w:r>
        <w:t xml:space="preserve">Patient support: the three-patient sensitivity set is exactly the ≥3-patient tail (5,438), and 10,504 of the 15,942 replicated switches (66%) sit at the two-patient minimum.</w:t>
      </w:r>
      <w:r>
        <w:t xml:space="preserve"> </w:t>
      </w:r>
      <w:r>
        <w:rPr>
          <w:b/>
        </w:rPr>
        <w:t xml:space="preserve">(d)</w:t>
      </w:r>
      <w:r>
        <w:t xml:space="preserve"> </w:t>
      </w:r>
      <w:r>
        <w:t xml:space="preserve">Honesty panel — the genomic context of the 5,951 distinct replicated PAS,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 use the own-gene figure (57.8%) whenever the claim is about gene-level interpretation — and that fraction, like the 2,883-gene and 10,415 (pair, gene) counts, is computed through the PAS-to-gene assignment under revision (tool issue #99), while every PAS-keyed statistic is unaffected; the null resolves only to an empirical p ≤ 0.091, the ten-permutation floor, so report "none in ten label-shuffle nulls" and never an FDR; no ranked list of named top-switch genes may be published until the assignment is fixed, because 12 of the top-30 gene-level rows name a gene whose 3′UTR does not contain the representative PAS; the pre-registered effect floor is applied per patient and the patients are then re-counted, so it removes 730 switches (15,942 → 15,212), more than the 291 whose consensus effect alone falls below 0.1 —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 58.9 M library-level null tests across the 15 primary libraries — while the 2,128,711 hypotheses above are the distinct (cell-type pair, PAS) rows entering the patient-level replication filter. The 58.9 M null tests yielded 11 nominal q &lt; 0.05 calls, none co-occurring twice —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 replication statistics are unaffected — until PAS-to-gene re-assignment lands (the same issue). Fig 6d gives the genomic context of the 5,951 replicated PAS: 96.8% inside a same-strand gene body, 61.5% in some same-strand 3′UTR, 57.8% in the assigned gene's own 3′UTR. The gene-keyed quantities — 2,883 genes, the 10,415 (pair, gene) combinations, and the 57.8% own-3′UTR fraction — are computed through that same assignment and carry the same caution as the withheld gene list; the gene-body and any-same-strand-3′UTR fractions and every PAS-level statistic do not depend on choosing an assigned gene.</w:t>
      </w:r>
    </w:p>
    <w:p>
      <w:pPr>
        <w:pStyle w:val="Heading2"/>
      </w:pPr>
      <w:bookmarkStart w:id="36" w:name="what-did-not-work-reported-as-results"/>
      <w:r>
        <w:t xml:space="preserve">2.7 What did not work, reported as results</w:t>
      </w:r>
      <w:bookmarkEnd w:id="36"/>
    </w:p>
    <w:p>
      <w:pPr>
        <w:pStyle w:val="FirstParagraph"/>
      </w:pPr>
      <w:r>
        <w:t xml:space="preserve">We pre-registered four claims and their acceptance gates before the final run existed and report all four outcomes (Figs S7, S10–S12).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 clip-supported, ≥2 molecules, internal-priming-filtered, canonical hexamer at −40..−5, ≥100 bp from any PolyASite 2.0 site [[CITE: PolyASite 2.0 paper]] (the pre-registration also named PolyA_DB, hg19-only, which could not be used) — was required to reach ≥70% concordance with poly(A)-verified Kinnex long-read 3′ ends within 25 bp [[CITE: Kinnex paper]],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 added on top of the shipped filter, the Kinnex-style rule removes 31 of 46,524 default sites, a no-op — so the residual class survives both rules;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The discipline is drawn, not asserted (Fig S11).</w:t>
      </w:r>
      <w:r>
        <w:t xml:space="preserve"> </w:t>
      </w:r>
      <w:r>
        <w:t xml:space="preserve">The pre-registration record — every gate, every arm, both failures, one disclosed post-hoc sweep — is an auditable timeline: gates carry git-verified commit times where they exist, outcomes include both failures, and the one still-untested pre-registration is marked pending rather than omitted.</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 the sites it swapped in were ~4× better by the atlas and ~2× worse by long reads —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 the long-read truth must move in the same direction before a change ships as a default. No learned score ships here; the reported default remains the pre-registered rule, verified byte-for-byte across caller versions in Fig S12.</w:t>
      </w:r>
    </w:p>
    <w:p>
      <w:pPr>
        <w:pStyle w:val="Heading1"/>
      </w:pPr>
      <w:bookmarkStart w:id="37" w:name="discussion"/>
      <w:r>
        <w:t xml:space="preserve">3 Discussion</w:t>
      </w:r>
      <w:bookmarkEnd w:id="37"/>
    </w:p>
    <w:p>
      <w:pPr>
        <w:pStyle w:val="FirstParagraph"/>
      </w:pPr>
      <w:r>
        <w:t xml:space="preserve">What a precision-first default buys a biologist is trust per call. At its pre-registered operating point — clip-supported tier-1 sites, internal-priming-filtered, ≥2 distinct clip molecules —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[[CITE: polyApipe paper]] at 2.6× the call count. The default is not the F1 optimum on any dataset (Fig 3): it is chosen for reliability — the arm whose calls a biologist can act on without re-validating each site —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(Fig S12), so every gate here pairs atlas agreement with an atlas-independent long-read check — and the field's benchmarks should too. Second, pre-registration repeatedly caught our own overclaims, and Fig S11's timeline carries the audit: the sweep that informed the ≥2-molecule threshold is disclosed as post hoc — created after a stale run failed the original gate, it informed a choice and is cited nowhere as a result; and the adoption criterion for the revised defaults returned FAIL at Δ = 0.000000 because it was drafted against a default configuration that never existed — byte-identical outputs,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 reported as a failure (Fig S7).</w:t>
      </w:r>
    </w:p>
    <w:p>
      <w:pPr>
        <w:pStyle w:val="BodyText"/>
      </w:pPr>
      <w:r>
        <w:t xml:space="preserve">Limitations. The human results rest on one donor at depth; the second library (pbmc4k) — pre-registered default gate PASS at atlas-agreement P@100 0.8279, cross-donor site concordance 84.2% within 100 bp (descriptive, not gated; Fig S4) — carries no published donor identifier and is presumptively, not provably, a second individual. The two testis mice come from one study and one chemistry. The Kinnex truth is donor-mismatched and site-level: it corroborates positions, not donor-specific usage. Two defects are open publicly: PAS-to-gene assignment in overlapping loci is under revision (issue #99), so cohort switches are keyed by PAS identifier and no ranked gene list appears here; and the per_isoform switch mode has a degenerate-pair defect (issue #98) and underlies no result here.</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 but internal priming replicates across samples too, the effect is unmeasured on human data, and it ships only behind its own pre-registration. The 3′UTR singleton promotion is pre-registered — rule, thresholds and falsifiers fixed, flag default OFF — and untested: its deciding evidence is reserved to data unused in its discovery, and its ceiling is ~+0.04 R_det. Re-ranking is nearly exhausted —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8" w:name="conclusions"/>
      <w:r>
        <w:t xml:space="preserve">4 Conclusions</w:t>
      </w:r>
      <w:bookmarkEnd w:id="38"/>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 and the evaluation discipline it was built to survive — as the contribution.</w:t>
      </w:r>
    </w:p>
    <w:p>
      <w:pPr>
        <w:pStyle w:val="Heading1"/>
      </w:pPr>
      <w:bookmarkStart w:id="39" w:name="methods"/>
      <w:r>
        <w:t xml:space="preserve">5 Methods</w:t>
      </w:r>
      <w:bookmarkEnd w:id="39"/>
    </w:p>
    <w:p>
      <w:pPr>
        <w:pStyle w:val="Heading2"/>
      </w:pPr>
      <w:bookmarkStart w:id="40" w:name="datasets-and-reference-resources"/>
      <w:r>
        <w:t xml:space="preserve">5.1 Datasets and reference resources</w:t>
      </w:r>
      <w:bookmarkEnd w:id="40"/>
    </w:p>
    <w:p>
      <w:pPr>
        <w:pStyle w:val="FirstParagraph"/>
      </w:pPr>
      <w:r>
        <w:t xml:space="preserve">No new sequencing data were generated.</w:t>
      </w:r>
      <w:r>
        <w:t xml:space="preserve"> </w:t>
      </w:r>
      <w:r>
        <w:rPr>
          <w:b/>
        </w:rPr>
        <w:t xml:space="preserve">Human PBMC, donor 1</w:t>
      </w:r>
      <w:r>
        <w:t xml:space="preserve"> </w:t>
      </w:r>
      <w:r>
        <w:t xml:space="preserve">— the 10x Genomics public library</w:t>
      </w:r>
      <w:r>
        <w:t xml:space="preserve"> </w:t>
      </w:r>
      <w:r>
        <w:rPr>
          <w:rStyle w:val="VerbatimChar"/>
        </w:rPr>
        <w:t xml:space="preserve">pbmc_10k_v3</w:t>
      </w:r>
      <w:r>
        <w:t xml:space="preserve"> </w:t>
      </w:r>
      <w:r>
        <w:t xml:space="preserve">(Single Cell 3′ v3 chemistry; CellRanger 3.0.0 [[CITE: CellRanger paper]] on the GRCh38-3.0.0 reference bundle; 91 bp read 2; ~10,000 estimated cells; 557,564,408 accepted cell-barcoded reads).</w:t>
      </w:r>
      <w:r>
        <w:t xml:space="preserve"> </w:t>
      </w:r>
      <w:r>
        <w:rPr>
          <w:b/>
        </w:rPr>
        <w:t xml:space="preserve">Human PBMC, donor 2</w:t>
      </w:r>
      <w:r>
        <w:t xml:space="preserve"> </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w:t>
      </w:r>
      <w:r>
        <w:t xml:space="preserve">— the two adult spermatogenesis libraries of GEO GSE104556 [[CITE: study describing the GSE104556 mouse testis 10x dataset]] (Single Cell 3′ v2; 98 bp read 2; 1,294 and 1,364 stage-labelled cells), aligned with STARsolo [[CITE: STARsolo paper]].</w:t>
      </w:r>
      <w:r>
        <w:t xml:space="preserve"> </w:t>
      </w:r>
      <w:r>
        <w:rPr>
          <w:b/>
        </w:rPr>
        <w:t xml:space="preserve">Cohort</w:t>
      </w:r>
      <w:r>
        <w:t xml:space="preserve"> </w:t>
      </w:r>
      <w:r>
        <w:t xml:space="preserve">— the Laughney lung-adenocarcinoma atlas, GEO GSE123904 [[CITE: Laughney et al. lung adenocarcinoma single-cell atlas]]:</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[[CITE: PolyASite 2.0 paper]] (569,005 sites on GRCh38, 301,006 on GRCm38). Per-library parameters, pipelines and poly(A) clip rates are in Fig S1; unmeasured values are shown as missing, never approximated.</w:t>
      </w:r>
    </w:p>
    <w:p>
      <w:pPr>
        <w:pStyle w:val="Heading2"/>
      </w:pPr>
      <w:bookmarkStart w:id="41" w:name="Xb967b89a23bd6982e314de3c50492bdc63dd052"/>
      <w:r>
        <w:t xml:space="preserve">5.2 The caller and the pre-registered default output</w:t>
      </w:r>
      <w:bookmarkEnd w:id="41"/>
    </w:p>
    <w:p>
      <w:pPr>
        <w:pStyle w:val="FirstParagraph"/>
      </w:pPr>
      <w:r>
        <w:t xml:space="preserve">PeakATail (CLI:</w:t>
      </w:r>
      <w:r>
        <w:t xml:space="preserve"> </w:t>
      </w:r>
      <w:r>
        <w:rPr>
          <w:rStyle w:val="VerbatimChar"/>
        </w:rPr>
        <w:t xml:space="preserve">ema</w:t>
      </w:r>
      <w:r>
        <w:t xml:space="preserve">)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w:t>
      </w:r>
      <w:r>
        <w:t xml:space="preserve">— the development branch after PR #93 (tier-1 quantification and molecule counting), PR #96 (minus-strand internal-priming window fix) and PR #97 (memory/CPU) — each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 an artefact of a QC estimator that samples only the first 200,000 cell-barcoded reads of a coordinate-sorted BAM, the head of chr1 (tool issue #99) —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The tool's</w:t>
      </w:r>
      <w:r>
        <w:t xml:space="preserve"> </w:t>
      </w:r>
      <w:r>
        <w:rPr>
          <w:rStyle w:val="VerbatimChar"/>
        </w:rPr>
        <w:t xml:space="preserve">--ip-filter-mode</w:t>
      </w:r>
      <w:r>
        <w:t xml:space="preserve"> </w:t>
      </w:r>
      <w:r>
        <w:t xml:space="preserve">default,</w:t>
      </w:r>
      <w:r>
        <w:t xml:space="preserve"> </w:t>
      </w:r>
      <w:r>
        <w:rPr>
          <w:rStyle w:val="VerbatimChar"/>
        </w:rPr>
        <w:t xml:space="preserve">annotate</w:t>
      </w:r>
      <w:r>
        <w:t xml:space="preserve">, keeps every site and records the flag; every benchmark arm passed</w:t>
      </w:r>
      <w:r>
        <w:t xml:space="preserve"> </w:t>
      </w:r>
      <w:r>
        <w:rPr>
          <w:rStyle w:val="VerbatimChar"/>
        </w:rPr>
        <w:t xml:space="preserve">--ip-filter --ip-filter-mode filter</w:t>
      </w:r>
      <w:r>
        <w:t xml:space="preserve"> </w:t>
      </w:r>
      <w:r>
        <w:t xml:space="preserve">explicitly, which removes flagged sites. PR #96 corrected the minus-strand anchoring —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(Signac method [[CITE: Signac TF-IDF paper]])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42" w:name="benchmark-protocol"/>
      <w:r>
        <w:t xml:space="preserve">5.3 Benchmark protocol</w:t>
      </w:r>
      <w:bookmarkEnd w:id="42"/>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w:t>
      </w:r>
      <w:r>
        <w:t xml:space="preserve">[[CITE: bedtools paper]];</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[[CITE: Sierra paper]], scAPAtrap [[CITE: scAPAtrap paper]], polyApipe [[CITE: polyApipe paper]], SCAPTURE [[CITE: SCAPTURE paper]] and scUTRquant [[CITE: scUTRquant paper]]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[[CITE: scTail paper]]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43" w:name="long-read-truth-construction"/>
      <w:r>
        <w:t xml:space="preserve">5.4 Long-read truth construction</w:t>
      </w:r>
      <w:bookmarkEnd w:id="43"/>
    </w:p>
    <w:p>
      <w:pPr>
        <w:pStyle w:val="FirstParagraph"/>
      </w:pPr>
      <w:r>
        <w:t xml:space="preserve">The atlas-independent read-out uses publicly available PacBio Kinnex [[CITE: Kinnex paper]] long-read PBMC data from the x3p and GEM-X library preparations [[CITE: the public Kinnex PBMC datasets used as long-read truth (x3p and GEM-X library preparations) — data citation with accession/identifier]] —</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44" w:name="pre-registration-practice"/>
      <w:r>
        <w:t xml:space="preserve">5.5 Pre-registration practice</w:t>
      </w:r>
      <w:bookmarkEnd w:id="44"/>
    </w:p>
    <w:p>
      <w:pPr>
        <w:pStyle w:val="FirstParagraph"/>
      </w:pPr>
      <w:r>
        <w:t xml:space="preserve">Every acceptance gate was committed before the run it judges; the record is drawn as an auditable timeline (Fig S11).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Fig S12). Every prime-branch number is exploratory with respect to the manuscript's gates.</w:t>
      </w:r>
    </w:p>
    <w:p>
      <w:pPr>
        <w:pStyle w:val="Heading2"/>
      </w:pPr>
      <w:bookmarkStart w:id="45" w:name="Xae693b0aae593a84298b7bf3eb9f8a4941e5923"/>
      <w:r>
        <w:t xml:space="preserve">5.6 Differential APA test and its calibration</w:t>
      </w:r>
      <w:bookmarkEnd w:id="45"/>
    </w:p>
    <w:p>
      <w:pPr>
        <w:pStyle w:val="FirstParagraph"/>
      </w:pPr>
      <w:r>
        <w:t xml:space="preserve">Cell-type APA switches are tested with</w:t>
      </w:r>
      <w:r>
        <w:t xml:space="preserve"> </w:t>
      </w:r>
      <w:r>
        <w:rPr>
          <w:rStyle w:val="VerbatimChar"/>
        </w:rPr>
        <w:t xml:space="preserve">ema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Benjamini–Hochberg correction [[CITE: Benjamini and Hochberg FDR]] is applied per cell-type pair within each library — each (library, pair) is one BH family —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 the unit of replication is the patient, so within-library dependence cannot by itself manufacture a cross-patient replicated call —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 null p &lt; 0.05 ≤ 7%, null p &lt; 0.01 ≤ 1.5%, null q &lt; 0.05 ≤ 5%, and ≤25% of null runs carrying any q &lt; 0.05 hit —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6" w:name="cohort-switch-replication-laughney"/>
      <w:r>
        <w:t xml:space="preserve">5.7 Cohort switch replication (Laughney)</w:t>
      </w:r>
      <w:bookmarkEnd w:id="46"/>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ema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[[CITE: CellTypist paper]]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 audited on the Macrophage–T cell pair: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 whose stated premise later proved to be a clip-rate sampling artefact of the head-of-BAM estimator, so the exclusion stands only as pre-registered, with a sensitivity run including it reported —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PAS-to-gene assignment in overlapping loci is under revision (tool issue #99).</w:t>
      </w:r>
    </w:p>
    <w:p>
      <w:pPr>
        <w:pStyle w:val="Heading2"/>
      </w:pPr>
      <w:bookmarkStart w:id="47" w:name="spermatogenesis-analysis"/>
      <w:r>
        <w:t xml:space="preserve">5.8 Spermatogenesis analysis</w:t>
      </w:r>
      <w:bookmarkEnd w:id="47"/>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8" w:name="second-library-generalisation-test"/>
      <w:r>
        <w:t xml:space="preserve">5.9 Second-library generalisation test</w:t>
      </w:r>
      <w:bookmarkEnd w:id="48"/>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9" w:name="compute-environment"/>
      <w:r>
        <w:t xml:space="preserve">5.10 Compute environment</w:t>
      </w:r>
      <w:bookmarkEnd w:id="49"/>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50" w:name="declarations"/>
      <w:r>
        <w:t xml:space="preserve">Declarations</w:t>
      </w:r>
      <w:bookmarkEnd w:id="50"/>
    </w:p>
    <w:p>
      <w:pPr>
        <w:pStyle w:val="Heading2"/>
      </w:pPr>
      <w:bookmarkStart w:id="51" w:name="availability-of-data-and-materials"/>
      <w:r>
        <w:t xml:space="preserve">Availability of data and materials</w:t>
      </w:r>
      <w:bookmarkEnd w:id="51"/>
    </w:p>
    <w:p>
      <w:pPr>
        <w:pStyle w:val="FirstParagraph"/>
      </w:pPr>
      <w:r>
        <w:rPr>
          <w:b/>
        </w:rPr>
        <w:t xml:space="preserve">Tool code.</w:t>
      </w:r>
      <w:r>
        <w:t xml:space="preserve"> </w:t>
      </w:r>
      <w:r>
        <w:t xml:space="preserve">PeakATail (CLI:</w:t>
      </w:r>
      <w:r>
        <w:t xml:space="preserve"> </w:t>
      </w:r>
      <w:r>
        <w:rPr>
          <w:rStyle w:val="VerbatimChar"/>
        </w:rPr>
        <w:t xml:space="preserve">ema</w:t>
      </w:r>
      <w:r>
        <w:t xml:space="preserve">)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#95 (internal-priming filter and memory), #98 (</w:t>
      </w:r>
      <w:r>
        <w:rPr>
          <w:rStyle w:val="VerbatimChar"/>
        </w:rPr>
        <w:t xml:space="preserve">per_isoform</w:t>
      </w:r>
      <w:r>
        <w:t xml:space="preserve"> </w:t>
      </w:r>
      <w:r>
        <w:t xml:space="preserve">degenerate pairs), #99 (PAS-to-gene assignment in overlapping loci and the clip-rate sampling estimator) and #101 (dynamic-threshold crash and documentation defects).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52" w:name="Xd182db0490b2de20bd2b4e4cc8698599182035f"/>
      <w:r>
        <w:t xml:space="preserve">Ethics approval and consent to participate</w:t>
      </w:r>
      <w:bookmarkEnd w:id="52"/>
    </w:p>
    <w:p>
      <w:pPr>
        <w:pStyle w:val="FirstParagraph"/>
      </w:pPr>
      <w:r>
        <w:t xml:space="preserve">Not applicable. This study analyses only previously published, publicly available datasets; no new human or animal data were collected.</w:t>
      </w:r>
    </w:p>
    <w:p>
      <w:pPr>
        <w:pStyle w:val="Heading2"/>
      </w:pPr>
      <w:bookmarkStart w:id="53" w:name="consent-for-publication"/>
      <w:r>
        <w:t xml:space="preserve">Consent for publication</w:t>
      </w:r>
      <w:bookmarkEnd w:id="53"/>
    </w:p>
    <w:p>
      <w:pPr>
        <w:pStyle w:val="FirstParagraph"/>
      </w:pPr>
      <w:r>
        <w:t xml:space="preserve">Not applicable.</w:t>
      </w:r>
    </w:p>
    <w:p>
      <w:pPr>
        <w:pStyle w:val="Heading2"/>
      </w:pPr>
      <w:bookmarkStart w:id="54" w:name="competing-interests"/>
      <w:r>
        <w:t xml:space="preserve">Competing interests</w:t>
      </w:r>
      <w:bookmarkEnd w:id="54"/>
    </w:p>
    <w:p>
      <w:pPr>
        <w:pStyle w:val="FirstParagraph"/>
      </w:pPr>
      <w:r>
        <w:t xml:space="preserve">[[PLACEHOLDER: competing interests statement — PI decision]]</w:t>
      </w:r>
    </w:p>
    <w:p>
      <w:pPr>
        <w:pStyle w:val="Heading2"/>
      </w:pPr>
      <w:bookmarkStart w:id="55" w:name="funding"/>
      <w:r>
        <w:t xml:space="preserve">Funding</w:t>
      </w:r>
      <w:bookmarkEnd w:id="55"/>
    </w:p>
    <w:p>
      <w:pPr>
        <w:pStyle w:val="FirstParagraph"/>
      </w:pPr>
      <w:r>
        <w:t xml:space="preserve">[[PLACEHOLDER: funding — PI decision]]</w:t>
      </w:r>
    </w:p>
    <w:p>
      <w:pPr>
        <w:pStyle w:val="Heading2"/>
      </w:pPr>
      <w:bookmarkStart w:id="56" w:name="authors-contributions"/>
      <w:r>
        <w:t xml:space="preserve">Authors' contributions</w:t>
      </w:r>
      <w:bookmarkEnd w:id="56"/>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7" w:name="acknowledgements"/>
      <w:r>
        <w:t xml:space="preserve">Acknowledgements</w:t>
      </w:r>
      <w:bookmarkEnd w:id="57"/>
    </w:p>
    <w:p>
      <w:pPr>
        <w:pStyle w:val="FirstParagraph"/>
      </w:pPr>
      <w:r>
        <w:t xml:space="preserve">[[PLACEHOLDER: acknowledgements — PI decision]]</w:t>
      </w:r>
    </w:p>
    <w:p>
      <w:pPr>
        <w:pStyle w:val="Heading2"/>
      </w:pPr>
      <w:bookmarkStart w:id="58" w:name="outstanding-items"/>
      <w:r>
        <w:t xml:space="preserve">Outstanding items</w:t>
      </w:r>
      <w:bookmarkEnd w:id="58"/>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w:t>
      </w:r>
      <w:r>
        <w:t xml:space="preserve">— Declarations, "Competing interests".</w:t>
      </w:r>
    </w:p>
    <w:p>
      <w:pPr>
        <w:numPr>
          <w:ilvl w:val="0"/>
          <w:numId w:val="1002"/>
        </w:numPr>
        <w:pStyle w:val="Compact"/>
      </w:pPr>
      <w:r>
        <w:rPr>
          <w:b/>
        </w:rPr>
        <w:t xml:space="preserve">[[PLACEHOLDER: funding — PI decision]]</w:t>
      </w:r>
      <w:r>
        <w:t xml:space="preserve"> </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w:t>
      </w:r>
      <w:r>
        <w:t xml:space="preserve">— Declarations, "Authors' contributions".</w:t>
      </w:r>
    </w:p>
    <w:p>
      <w:pPr>
        <w:numPr>
          <w:ilvl w:val="0"/>
          <w:numId w:val="1002"/>
        </w:numPr>
        <w:pStyle w:val="Compact"/>
      </w:pPr>
      <w:r>
        <w:rPr>
          <w:b/>
        </w:rPr>
        <w:t xml:space="preserve">[[PLACEHOLDER: acknowledgements — PI decision]]</w:t>
      </w:r>
      <w:r>
        <w:t xml:space="preserve"> </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Every remaining [[CITE]] token marks a reference to be inserted at typesetting and is left exactly where it stands.</w:t>
      </w:r>
    </w:p>
    <w:p>
      <w:pPr>
        <w:pStyle w:val="Heading1"/>
      </w:pPr>
      <w:bookmarkStart w:id="59" w:name="supplementary-information"/>
      <w:r>
        <w:t xml:space="preserve">Supplementary information</w:t>
      </w:r>
      <w:bookmarkEnd w:id="59"/>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rPr>
        <w:t xml:space="preserve">Fig S1 | The datasets behind every headline number, with per-library poly(A) clip rates.</w:t>
      </w:r>
      <w:r>
        <w:t xml:space="preserve"> </w:t>
      </w:r>
      <w:r>
        <w:t xml:space="preserve">Unmeasured cells are shown as missing, never approximated; head-sample estimator values are comparable only with each other, never with the genome-wide rate; 1.152% appears only as the superseded reference.</w:t>
      </w:r>
    </w:p>
    <w:p>
      <w:pPr>
        <w:pStyle w:val="BodyText"/>
      </w:pPr>
      <w:r>
        <w:rPr>
          <w:b/>
        </w:rPr>
        <w:t xml:space="preserve">Fig S2 | v2 peak-call QC and the tier-2 cleavage-offset census.</w:t>
      </w:r>
      <w:r>
        <w:t xml:space="preserve"> </w:t>
      </w:r>
      <w:r>
        <w:t xml:space="preserve">Every count names its arm; the ~90–105 nt tier-2 offset is real, tier-2-specific, and its correction fails every pre-registered acceptance criterion — a negative disposition; the census ran on development slices, so full-BAM generalisation is an inference.</w:t>
      </w:r>
    </w:p>
    <w:p>
      <w:pPr>
        <w:pStyle w:val="BodyText"/>
      </w:pPr>
      <w:r>
        <w:rPr>
          <w:b/>
        </w:rPr>
        <w:t xml:space="preserve">Fig S3 | Why the benchmark is built this way: dump vs curated regimes, chance = reference density, one reconciled null.</w:t>
      </w:r>
      <w:r>
        <w:t xml:space="preserve"> </w:t>
      </w:r>
      <w:r>
        <w:t xml:space="preserve">The retired-regime values are shown only as the discrepancy being reconciled and may not be quoted as results.</w:t>
      </w:r>
    </w:p>
    <w:p>
      <w:pPr>
        <w:pStyle w:val="BodyText"/>
      </w:pPr>
      <w:r>
        <w:rPr>
          <w:b/>
        </w:rPr>
        <w:t xml:space="preserve">Fig S4 | Second-donor validation (pre-registered): pbmc4k gate PASS at 0.8279, cross-donor concordance both directions.</w:t>
      </w:r>
      <w:r>
        <w:t xml:space="preserve"> </w:t>
      </w:r>
      <w:r>
        <w:t xml:space="preserve">The matched-N control travels with it: precision generalises, it does not improve; a second library, chemistry and CellRanger version — only presumptively a second individual.</w:t>
      </w:r>
    </w:p>
    <w:p>
      <w:pPr>
        <w:pStyle w:val="BodyText"/>
      </w:pPr>
      <w:r>
        <w:rPr>
          <w:b/>
        </w:rPr>
        <w:t xml:space="preserve">Fig S5 | Per-tool long-read re-ranking and the genuine / internal-priming / unsupported decomposition.</w:t>
      </w:r>
      <w:r>
        <w:t xml:space="preserve"> </w:t>
      </w:r>
      <w:r>
        <w:t xml:space="preserve">[In preparation — pending de-duplication of the long-read truth-set support counts; not cited in this draft.]</w:t>
      </w:r>
    </w:p>
    <w:p>
      <w:pPr>
        <w:pStyle w:val="BodyText"/>
      </w:pPr>
      <w:r>
        <w:rPr>
          <w:b/>
        </w:rPr>
        <w:t xml:space="preserve">Fig S6 | Hexamer and A-fraction profiles at the clip-seeded cleavage point.</w:t>
      </w:r>
      <w:r>
        <w:t xml:space="preserve"> </w:t>
      </w:r>
      <w:r>
        <w:t xml:space="preserve">[In preparation — pending the shuffled-position null for the re-anchored window; not cited in this draft.]</w:t>
      </w:r>
    </w:p>
    <w:p>
      <w:pPr>
        <w:pStyle w:val="BodyText"/>
      </w:pPr>
      <w:r>
        <w:rPr>
          <w:b/>
        </w:rPr>
        <w:t xml:space="preserve">Fig S7 | The pre-registered trusted-novel definition and its failure: 48.5% long-read concordance against a 70% target.</w:t>
      </w:r>
      <w:r>
        <w:t xml:space="preserve"> </w:t>
      </w:r>
      <w: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rPr>
        <w:t xml:space="preserve">Fig S8 | Compute detail behind Fig 3d.</w:t>
      </w:r>
      <w:r>
        <w:t xml:space="preserve"> </w:t>
      </w:r>
      <w:r>
        <w:t xml:space="preserve">No wall time is quoted without its concurrency disclosed; peak RSS is the production number; competitor retry/skip caveats travel verbatim.</w:t>
      </w:r>
    </w:p>
    <w:p>
      <w:pPr>
        <w:pStyle w:val="BodyText"/>
      </w:pPr>
      <w:r>
        <w:rPr>
          <w:b/>
        </w:rPr>
        <w:t xml:space="preserve">Fig S9 | Calibration deep-dive behind Fig 4.</w:t>
      </w:r>
      <w:r>
        <w:t xml:space="preserve"> </w:t>
      </w:r>
      <w:r>
        <w:t xml:space="preserve">Per-pair and per-stratum null rates, permutation-calibrated q, reads-vs-cells pseudoreplication, the NB dispersion-floor diagnostic; single mouse, single tissue; the label-permutation null tests exchangeability only.</w:t>
      </w:r>
    </w:p>
    <w:p>
      <w:pPr>
        <w:pStyle w:val="BodyText"/>
      </w:pPr>
      <w:r>
        <w:rPr>
          <w:b/>
        </w:rPr>
        <w:t xml:space="preserve">Fig S10 | The dropped clustering claim, stated honestly.</w:t>
      </w:r>
      <w:r>
        <w:t xml:space="preserve"> </w:t>
      </w:r>
      <w:r>
        <w:t xml:space="preserve">The positive result never appears without its ablation on the same axis: per-gene totals recover cell types as well as site-level profiles, so no novelty claim rests on clustering.</w:t>
      </w:r>
    </w:p>
    <w:p>
      <w:pPr>
        <w:pStyle w:val="BodyText"/>
      </w:pPr>
      <w:r>
        <w:rPr>
          <w:b/>
        </w:rPr>
        <w:t xml:space="preserve">Fig S11 | The pre-registration record, drawn so it can be audited rather than taken on trust.</w:t>
      </w:r>
      <w:r>
        <w:t xml:space="preserve"> </w:t>
      </w:r>
      <w:r>
        <w:t xml:space="preserve">Timeline and gate table: every gate, every arm, both failures, the disclosed post-hoc sweep and the still-untested pre-registration; git-verified timestamps where they exist, display positions flagged where documents record no clock time.</w:t>
      </w:r>
    </w:p>
    <w:p>
      <w:pPr>
        <w:pStyle w:val="BodyText"/>
      </w:pPr>
      <w:r>
        <w:rPr>
          <w:b/>
        </w:rPr>
        <w:t xml:space="preserve">Fig S12 | Four versions of the caller on four libraries, scored once.</w:t>
      </w:r>
      <w:r>
        <w:t xml:space="preserve"> </w:t>
      </w:r>
      <w:r>
        <w:t xml:space="preserve">prime's default is byte-identical to the v2 manuscript arm (pre-registered criterion FAILS at Δ exactly 0.000000 — an identity, not a regression); everything prime is exploratory with respect to the manuscript's gates; v1 → v2 is a bug fix, not an accuracy gain.</w:t>
      </w:r>
    </w:p>
    <w:p>
      <w:pPr>
        <w:pStyle w:val="BodyText"/>
      </w:pPr>
      <w:r>
        <w:rPr>
          <w:b/>
        </w:rPr>
        <w:t xml:space="preserve">Supplementary Table T7 | Competitor tool versions, parameters, run commands and run-log caveats.</w:t>
      </w:r>
      <w:r>
        <w:t xml:space="preserve"> </w:t>
      </w:r>
      <w:r>
        <w:t xml:space="preserve">[In preparation — referenced from Methods; to be collated from the verified run registry and run logs before submission.]</w:t>
      </w:r>
    </w:p>
    <w:sectPr>
      <w:footerReference w:type="default" r:id="rId9"/>
      <w:pgSz w:w="11906" w:h="16838"/>
      <w:pgMar w:top="1134" w:right="1134" w:bottom="1134" w:left="1134" w:header="708" w:footer="708"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60" w:line="276"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0" w:after="160" w:line="276" w:lineRule="auto"/>
    </w:pPr>
    <w:qFormat/>
  </w:style>
  <w:style w:type="paragraph" w:customStyle="1" w:styleId="FirstParagraph">
    <w:name w:val="First Paragraph"/>
    <w:basedOn w:val="BodyText"/>
    <w:next w:val="BodyText"/>
    <w:qFormat/>
    <w:pPr>
      <w:spacing w:before="0" w:after="160" w:line="276" w:lineRule="auto"/>
    </w:pPr>
  </w:style>
  <w:style w:type="paragraph" w:customStyle="1" w:styleId="Compact">
    <w:name w:val="Compact"/>
    <w:basedOn w:val="BodyText"/>
    <w:qFormat/>
    <w:pPr>
      <w:spacing w:before="0" w:after="64" w:line="276" w:lineRule="auto"/>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pPr>
    <w:rPr>
      <w:rFonts w:ascii="Times New Roman" w:hAnsi="Times New Roman" w:eastAsia="Times New Roman" w:cs="Times New Roman"/>
      <w:b/>
      <w:bCs/>
      <w:sz w:val="28"/>
      <w:szCs w:val="28"/>
    </w:rPr>
  </w:style>
  <w:style w:type="paragraph" w:styleId="Heading2">
    <w:name w:val="Heading 2"/>
    <w:basedOn w:val="Normal"/>
    <w:next w:val="BodyText"/>
    <w:uiPriority w:val="9"/>
    <w:unhideWhenUsed/>
    <w:qFormat/>
    <w:pPr>
      <w:spacing w:before="240" w:after="80" w:line="240" w:lineRule="auto"/>
      <w:keepNext/>
      <w:keepLines/>
      <w:outlineLvl w:val="1"/>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pPr>
    <w:rPr>
      <w:rFonts w:ascii="Times New Roman" w:hAnsi="Times New Roman" w:eastAsia="Times New Roman" w:cs="Times New Roman"/>
      <w:b/>
      <w:bCs/>
      <w:i/>
      <w:iCs/>
      <w:sz w:val="22"/>
      <w:szCs w:val="22"/>
    </w:rPr>
  </w:style>
  <w:style w:type="paragraph" w:styleId="Heading4">
    <w:name w:val="Heading 4"/>
    <w:basedOn w:val="Normal"/>
    <w:next w:val="BodyText"/>
    <w:uiPriority w:val="9"/>
    <w:unhideWhenUsed/>
    <w:qFormat/>
    <w:pPr>
      <w:spacing w:before="240" w:after="80" w:line="240" w:lineRule="auto"/>
      <w:keepNext/>
      <w:keepLines/>
      <w:outlineLvl w:val="3"/>
    </w:pPr>
    <w:rPr>
      <w:rFonts w:ascii="Times New Roman" w:hAnsi="Times New Roman" w:eastAsia="Times New Roman" w:cs="Times New Roman"/>
      <w:i/>
      <w:iCs/>
      <w:sz w:val="22"/>
      <w:szCs w:val="22"/>
    </w:rPr>
  </w:style>
  <w:style w:type="paragraph" w:styleId="Heading5">
    <w:name w:val="Heading 5"/>
    <w:basedOn w:val="Normal"/>
    <w:next w:val="BodyText"/>
    <w:uiPriority w:val="9"/>
    <w:unhideWhenUsed/>
    <w:qFormat/>
    <w:pPr>
      <w:spacing w:before="240" w:after="80" w:line="240" w:lineRule="auto"/>
      <w:keepNext/>
      <w:keepLines/>
      <w:outlineLvl w:val="4"/>
    </w:pPr>
    <w:rPr>
      <w:rFonts w:ascii="Times New Roman" w:hAnsi="Times New Roman" w:eastAsia="Times New Roman" w:cs="Times New Roman"/>
      <w:i/>
      <w:iCs/>
      <w:sz w:val="22"/>
      <w:szCs w:val="22"/>
    </w:rPr>
  </w:style>
  <w:style w:type="paragraph" w:styleId="Heading6">
    <w:name w:val="Heading 6"/>
    <w:basedOn w:val="Normal"/>
    <w:next w:val="BodyText"/>
    <w:uiPriority w:val="9"/>
    <w:unhideWhenUsed/>
    <w:qFormat/>
    <w:pPr>
      <w:spacing w:before="240" w:after="80" w:line="240" w:lineRule="auto"/>
      <w:keepNext/>
      <w:keepLines/>
      <w:outlineLvl w:val="5"/>
    </w:pPr>
    <w:rPr>
      <w:rFonts w:ascii="Times New Roman" w:hAnsi="Times New Roman" w:eastAsia="Times New Roman" w:cs="Times New Roman"/>
      <w:i/>
      <w:iCs/>
      <w:sz w:val="22"/>
      <w:szCs w:val="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26" Type="http://schemas.openxmlformats.org/officeDocument/2006/relationships/image" Target="media/rId26.png"/><Relationship Id="rId29" Type="http://schemas.openxmlformats.org/officeDocument/2006/relationships/image" Target="media/rId29.png"/><Relationship Id="rId31" Type="http://schemas.openxmlformats.org/officeDocument/2006/relationships/image" Target="media/rId31.png"/><Relationship Id="rId33" Type="http://schemas.openxmlformats.org/officeDocument/2006/relationships/image" Target="media/rId33.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manuscript - reading copy (figures inline)</dc:title>
  <dc:creator>Amir Amiri Tabat; Yasin Kaymaz</dc:creator>
  <cp:keywords/>
  <dcterms:created xsi:type="dcterms:W3CDTF">2026-09-03T20:39:27Z</dcterms:created>
  <dcterms:modified xsi:type="dcterms:W3CDTF">2026-09-03T20:39:27Z</dcterms:modified>
  <dc:description>Built from manuscript/00_draft by submission/build/build.sh; content unaltered.</dc:description>
</cp:coreProperties>
</file>

<file path=docProps/custom.xml><?xml version="1.0" encoding="utf-8"?>
<Properties xmlns="http://schemas.openxmlformats.org/officeDocument/2006/custom-properties" xmlns:vt="http://schemas.openxmlformats.org/officeDocument/2006/docPropsVTypes"/>
</file>