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Heading2"/>
      </w:pPr>
      <w:bookmarkStart w:id="25" w:name="X20dea0cc46c558ff6edc11bc9e9d8d89446362e"/>
      <w:r>
        <w:t xml:space="preserve">2.2 Accuracy against the field, under a gate committed before the run</w:t>
      </w:r>
      <w:bookmarkEnd w:id="25"/>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6" w:name="X77774ed916f29262a7e3c2d2006f114ba6a5a0b"/>
      <w:r>
        <w:t xml:space="preserve">2.3 The trade surface: resolution, reproducibility across libraries, and compute</w:t>
      </w:r>
      <w:bookmarkEnd w:id="26"/>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27" w:name="X3e09469c8b856eb20eb9d08b33ef3a45cdfaf72"/>
      <w:r>
        <w:t xml:space="preserve">2.4 The switch test is calibrated because the shipped defaults were not</w:t>
      </w:r>
      <w:bookmarkEnd w:id="27"/>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28" w:name="X7e1f3d3075237f6eab559c0a6267668a6c1c183"/>
      <w:r>
        <w:t xml:space="preserve">2.5 A biological control with its own nulls: the spermatogenesis gradient</w:t>
      </w:r>
      <w:bookmarkEnd w:id="28"/>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29" w:name="X2d5e7693b5534ed0842618923718d8682f2392c"/>
      <w:r>
        <w:t xml:space="preserve">2.6 Reliable cell-type APA switches in a tumour cohort</w:t>
      </w:r>
      <w:bookmarkEnd w:id="29"/>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0" w:name="what-did-not-work-reported-as-results"/>
      <w:r>
        <w:t xml:space="preserve">2.7 What did not work, reported as results</w:t>
      </w:r>
      <w:bookmarkEnd w:id="30"/>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Pre-registration, reported with its failures.</w:t>
      </w:r>
      <w:r>
        <w:t xml:space="preserve"> </w:t>
      </w:r>
      <w:r>
        <w:t xml:space="preserve">Every acceptance gate was committed before the run it judges, with git-verified commit times where they exist. The record covers every gate and every arm, reports both failures, discloses as post hoc the one sweep that was post hoc, and marks the single still-untested pre-registration pending rather than omitting it.</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and its call files are byte-for-byte identical across the caller versions tested.</w:t>
      </w:r>
    </w:p>
    <w:p>
      <w:pPr>
        <w:pStyle w:val="Heading1"/>
      </w:pPr>
      <w:bookmarkStart w:id="31" w:name="discussion"/>
      <w:r>
        <w:t xml:space="preserve">3 Discussion</w:t>
      </w:r>
      <w:bookmarkEnd w:id="31"/>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so every gate here pairs atlas agreement with an atlas-independent long-read check, and the field's benchmarks should too. Second, pre-registration repeatedly caught our own overclaims: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2" w:name="conclusions"/>
      <w:r>
        <w:t xml:space="preserve">4 Conclusions</w:t>
      </w:r>
      <w:bookmarkEnd w:id="32"/>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3" w:name="methods"/>
      <w:r>
        <w:t xml:space="preserve">5 Methods</w:t>
      </w:r>
      <w:bookmarkEnd w:id="33"/>
    </w:p>
    <w:p>
      <w:pPr>
        <w:pStyle w:val="Heading2"/>
      </w:pPr>
      <w:bookmarkStart w:id="34" w:name="datasets-and-reference-resources"/>
      <w:r>
        <w:t xml:space="preserve">5.1 Datasets and reference resources</w:t>
      </w:r>
      <w:bookmarkEnd w:id="34"/>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35" w:name="Xb967b89a23bd6982e314de3c50492bdc63dd052"/>
      <w:r>
        <w:t xml:space="preserve">5.2 The caller and the pre-registered default output</w:t>
      </w:r>
      <w:bookmarkEnd w:id="35"/>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36" w:name="benchmark-protocol"/>
      <w:r>
        <w:t xml:space="preserve">5.3 Benchmark protocol</w:t>
      </w:r>
      <w:bookmarkEnd w:id="36"/>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37" w:name="long-read-truth-construction"/>
      <w:r>
        <w:t xml:space="preserve">5.4 Long-read truth construction</w:t>
      </w:r>
      <w:bookmarkEnd w:id="37"/>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38" w:name="pre-registration-practice"/>
      <w:r>
        <w:t xml:space="preserve">5.5 Pre-registration practice</w:t>
      </w:r>
      <w:bookmarkEnd w:id="38"/>
    </w:p>
    <w:p>
      <w:pPr>
        <w:pStyle w:val="FirstParagraph"/>
      </w:pPr>
      <w:r>
        <w:t xml:space="preserve">Every acceptance gate was committed before the run it judges, with git-verified commit times where a commit exists and the document's own recorded date otherwise.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Every prime-branch number is exploratory with respect to the manuscript's gates.</w:t>
      </w:r>
    </w:p>
    <w:p>
      <w:pPr>
        <w:pStyle w:val="Heading2"/>
      </w:pPr>
      <w:bookmarkStart w:id="39" w:name="Xae693b0aae593a84298b7bf3eb9f8a4941e5923"/>
      <w:r>
        <w:t xml:space="preserve">5.6 Differential APA test and its calibration</w:t>
      </w:r>
      <w:bookmarkEnd w:id="39"/>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0" w:name="cohort-switch-replication-laughney"/>
      <w:r>
        <w:t xml:space="preserve">5.7 Cohort switch replication (Laughney)</w:t>
      </w:r>
      <w:bookmarkEnd w:id="40"/>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1" w:name="spermatogenesis-analysis"/>
      <w:r>
        <w:t xml:space="preserve">5.8 Spermatogenesis analysis</w:t>
      </w:r>
      <w:bookmarkEnd w:id="41"/>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2" w:name="second-library-generalisation-test"/>
      <w:r>
        <w:t xml:space="preserve">5.9 Second-library generalisation test</w:t>
      </w:r>
      <w:bookmarkEnd w:id="42"/>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3" w:name="compute-environment"/>
      <w:r>
        <w:t xml:space="preserve">5.10 Compute environment</w:t>
      </w:r>
      <w:bookmarkEnd w:id="43"/>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44" w:name="declarations"/>
      <w:r>
        <w:t xml:space="preserve">Declarations</w:t>
      </w:r>
      <w:bookmarkEnd w:id="44"/>
    </w:p>
    <w:p>
      <w:pPr>
        <w:pStyle w:val="Heading2"/>
      </w:pPr>
      <w:bookmarkStart w:id="45" w:name="availability-of-data-and-materials"/>
      <w:r>
        <w:t xml:space="preserve">Availability of data and materials</w:t>
      </w:r>
      <w:bookmarkEnd w:id="45"/>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46" w:name="Xd182db0490b2de20bd2b4e4cc8698599182035f"/>
      <w:r>
        <w:t xml:space="preserve">Ethics approval and consent to participate</w:t>
      </w:r>
      <w:bookmarkEnd w:id="46"/>
    </w:p>
    <w:p>
      <w:pPr>
        <w:pStyle w:val="FirstParagraph"/>
      </w:pPr>
      <w:r>
        <w:t xml:space="preserve">Not applicable. This study analyses only previously published, publicly available datasets; no new human or animal data were collected.</w:t>
      </w:r>
    </w:p>
    <w:p>
      <w:pPr>
        <w:pStyle w:val="Heading2"/>
      </w:pPr>
      <w:bookmarkStart w:id="47" w:name="consent-for-publication"/>
      <w:r>
        <w:t xml:space="preserve">Consent for publication</w:t>
      </w:r>
      <w:bookmarkEnd w:id="47"/>
    </w:p>
    <w:p>
      <w:pPr>
        <w:pStyle w:val="FirstParagraph"/>
      </w:pPr>
      <w:r>
        <w:t xml:space="preserve">Not applicable.</w:t>
      </w:r>
    </w:p>
    <w:p>
      <w:pPr>
        <w:pStyle w:val="Heading2"/>
      </w:pPr>
      <w:bookmarkStart w:id="48" w:name="competing-interests"/>
      <w:r>
        <w:t xml:space="preserve">Competing interests</w:t>
      </w:r>
      <w:bookmarkEnd w:id="48"/>
    </w:p>
    <w:p>
      <w:pPr>
        <w:pStyle w:val="FirstParagraph"/>
      </w:pPr>
      <w:r>
        <w:t xml:space="preserve">[[PLACEHOLDER: competing interests statement — PI decision]]</w:t>
      </w:r>
    </w:p>
    <w:p>
      <w:pPr>
        <w:pStyle w:val="Heading2"/>
      </w:pPr>
      <w:bookmarkStart w:id="49" w:name="funding"/>
      <w:r>
        <w:t xml:space="preserve">Funding</w:t>
      </w:r>
      <w:bookmarkEnd w:id="49"/>
    </w:p>
    <w:p>
      <w:pPr>
        <w:pStyle w:val="FirstParagraph"/>
      </w:pPr>
      <w:r>
        <w:t xml:space="preserve">[[PLACEHOLDER: funding — PI decision]]</w:t>
      </w:r>
    </w:p>
    <w:p>
      <w:pPr>
        <w:pStyle w:val="Heading2"/>
      </w:pPr>
      <w:bookmarkStart w:id="50" w:name="authors-contributions"/>
      <w:r>
        <w:t xml:space="preserve">Authors' contributions</w:t>
      </w:r>
      <w:bookmarkEnd w:id="50"/>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1" w:name="acknowledgements"/>
      <w:r>
        <w:t xml:space="preserve">Acknowledgements</w:t>
      </w:r>
      <w:bookmarkEnd w:id="51"/>
    </w:p>
    <w:p>
      <w:pPr>
        <w:pStyle w:val="FirstParagraph"/>
      </w:pPr>
      <w:r>
        <w:t xml:space="preserve">[[PLACEHOLDER: acknowledgements — PI decision]]</w:t>
      </w:r>
    </w:p>
    <w:p>
      <w:pPr>
        <w:pStyle w:val="Heading2"/>
      </w:pPr>
      <w:bookmarkStart w:id="52" w:name="outstanding-items"/>
      <w:r>
        <w:t xml:space="preserve">Outstanding items</w:t>
      </w:r>
      <w:bookmarkEnd w:id="52"/>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r>
        <w:br w:type="page"/>
      </w:r>
    </w:p>
    <w:p>
      <w:pPr>
        <w:pStyle w:val="Heading1"/>
      </w:pPr>
      <w:bookmarkStart w:id="53" w:name="figure-legends"/>
      <w:r>
        <w:t xml:space="preserve">Figure legends</w:t>
      </w:r>
      <w:bookmarkEnd w:id="53"/>
    </w:p>
    <w:p>
      <w:pPr>
        <w:pStyle w:val="FirstParagraph"/>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BodyText"/>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odyText"/>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Heading1"/>
      </w:pPr>
      <w:bookmarkStart w:id="54" w:name="supplementary-information"/>
      <w:r>
        <w:t xml:space="preserve">Supplementary information</w:t>
      </w:r>
      <w:bookmarkEnd w:id="54"/>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sectPr>
      <w:footerReference w:type="default" r:id="rId9"/>
      <w:pgSz w:w="11906" w:h="16838"/>
      <w:pgMar w:top="1440" w:right="1440" w:bottom="1440" w:left="1440" w:header="708" w:footer="708" w:gutter="0"/>
      <w:lnNumType w:countBy="1" w:restart="continuous" w:distance="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20" w:line="480" w:lineRule="auto"/>
      </w:pPr>
    </w:pPrDefault>
  </w:docDefaults>
  <w:latentStyles w:defLockedState="0" w:defUIPriority="0" w:defSemiHidden="0" w:defUnhideWhenUsed="0" w:defQFormat="0" w:count="276"/>
  <w:style w:type="paragraph" w:default="1" w:styleId="Normal">
    <w:name w:val="Normal"/>
    <w:qFormat/>
    <w:pPr>
      <w:spacing w:before="0" w:after="120" w:line="480" w:lineRule="auto"/>
      <w:jc w:val="both"/>
    </w:pPr>
  </w:style>
  <w:style w:type="paragraph" w:styleId="BodyText">
    <w:name w:val="Body Text"/>
    <w:basedOn w:val="Normal"/>
    <w:link w:val="BodyTextChar"/>
    <w:pPr>
      <w:spacing w:before="0" w:after="120" w:line="480" w:lineRule="auto"/>
      <w:jc w:val="both"/>
    </w:pPr>
    <w:qFormat/>
  </w:style>
  <w:style w:type="paragraph" w:customStyle="1" w:styleId="FirstParagraph">
    <w:name w:val="First Paragraph"/>
    <w:basedOn w:val="BodyText"/>
    <w:next w:val="BodyText"/>
    <w:qFormat/>
    <w:pPr>
      <w:spacing w:before="0" w:after="120" w:line="480" w:lineRule="auto"/>
      <w:jc w:val="both"/>
    </w:pPr>
  </w:style>
  <w:style w:type="paragraph" w:customStyle="1" w:styleId="Compact">
    <w:name w:val="Compact"/>
    <w:basedOn w:val="BodyText"/>
    <w:qFormat/>
    <w:pPr>
      <w:spacing w:before="0" w:after="48" w:line="480"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20" w:line="480"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precision-first poly(A)-site calling and calibrated alternative polyadenylation analysis in single-cell RNA-seq</dc:title>
  <dc:creator>Amir Amiri Tabat; Yasin Kaymaz</dc:creator>
  <cp:keywords/>
  <dcterms:created xsi:type="dcterms:W3CDTF">2026-09-09T20:38:59Z</dcterms:created>
  <dcterms:modified xsi:type="dcterms:W3CDTF">2026-09-09T20:38:59Z</dcterms:modified>
  <dc:description>Built from manuscript/00_draft by submission/4_BUILD/build.sh; content unaltered.</dc:description>
</cp:coreProperties>
</file>

<file path=docProps/custom.xml><?xml version="1.0" encoding="utf-8"?>
<Properties xmlns="http://schemas.openxmlformats.org/officeDocument/2006/custom-properties" xmlns:vt="http://schemas.openxmlformats.org/officeDocument/2006/docPropsVTypes"/>
</file>