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77%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 The pre-registration timeline that makes these outcomes auditable is Supplementary Fig S11.</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FigureImage"/>
      </w:pPr>
      <w:r>
        <w:drawing>
          <wp:inline>
            <wp:extent cx="5852160" cy="7047629"/>
            <wp:effectExtent b="0" l="0" r="0" t="0"/>
            <wp:docPr descr="" title="" id="1" name="Picture"/>
            <a:graphic>
              <a:graphicData uri="http://schemas.openxmlformats.org/drawingml/2006/picture">
                <pic:pic>
                  <pic:nvPicPr>
                    <pic:cNvPr descr="/mnt/ssd1/Projects/PeakATail_wd/manuscript/figures/fig1_overview.png" id="0" name="Picture"/>
                    <pic:cNvPicPr>
                      <a:picLocks noChangeArrowheads="1" noChangeAspect="1"/>
                    </pic:cNvPicPr>
                  </pic:nvPicPr>
                  <pic:blipFill>
                    <a:blip r:embed="rId25"/>
                    <a:stretch>
                      <a:fillRect/>
                    </a:stretch>
                  </pic:blipFill>
                  <pic:spPr bwMode="auto">
                    <a:xfrm>
                      <a:off x="0" y="0"/>
                      <a:ext cx="5852160" cy="7047629"/>
                    </a:xfrm>
                    <a:prstGeom prst="rect">
                      <a:avLst/>
                    </a:prstGeom>
                    <a:noFill/>
                    <a:ln w="9525">
                      <a:noFill/>
                      <a:headEnd/>
                      <a:tailEnd/>
                    </a:ln>
                  </pic:spPr>
                </pic:pic>
              </a:graphicData>
            </a:graphic>
          </wp:inline>
        </w:drawing>
      </w:r>
    </w:p>
    <w:p>
      <w:pPr>
        <w:pStyle w:val="FigureLegend"/>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is under revision, tool issue #99,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FigureImage"/>
      </w:pPr>
      <w:r>
        <w:drawing>
          <wp:inline>
            <wp:extent cx="5852160" cy="5323897"/>
            <wp:effectExtent b="0" l="0" r="0" t="0"/>
            <wp:docPr descr="" title="" id="1" name="Picture"/>
            <a:graphic>
              <a:graphicData uri="http://schemas.openxmlformats.org/drawingml/2006/picture">
                <pic:pic>
                  <pic:nvPicPr>
                    <pic:cNvPr descr="/mnt/ssd1/Projects/PeakATail_wd/manuscript/figures/fig2_accuracy.png" id="0" name="Picture"/>
                    <pic:cNvPicPr>
                      <a:picLocks noChangeArrowheads="1" noChangeAspect="1"/>
                    </pic:cNvPicPr>
                  </pic:nvPicPr>
                  <pic:blipFill>
                    <a:blip r:embed="rId26"/>
                    <a:stretch>
                      <a:fillRect/>
                    </a:stretch>
                  </pic:blipFill>
                  <pic:spPr bwMode="auto">
                    <a:xfrm>
                      <a:off x="0" y="0"/>
                      <a:ext cx="5852160" cy="5323897"/>
                    </a:xfrm>
                    <a:prstGeom prst="rect">
                      <a:avLst/>
                    </a:prstGeom>
                    <a:noFill/>
                    <a:ln w="9525">
                      <a:noFill/>
                      <a:headEnd/>
                      <a:tailEnd/>
                    </a:ln>
                  </pic:spPr>
                </pic:pic>
              </a:graphicData>
            </a:graphic>
          </wp:inline>
        </w:drawing>
      </w:r>
    </w:p>
    <w:p>
      <w:pPr>
        <w:pStyle w:val="FigureLegend"/>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Heading2"/>
      </w:pPr>
      <w:bookmarkStart w:id="27" w:name="X20dea0cc46c558ff6edc11bc9e9d8d89446362e"/>
      <w:r>
        <w:t xml:space="preserve">2.2 Accuracy against the field, under a gate committed before the run</w:t>
      </w:r>
      <w:bookmarkEnd w:id="27"/>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8" w:name="X77774ed916f29262a7e3c2d2006f114ba6a5a0b"/>
      <w:r>
        <w:t xml:space="preserve">2.3 The trade surface: resolution, reproducibility across libraries, and compute</w:t>
      </w:r>
      <w:bookmarkEnd w:id="28"/>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FigureImage"/>
      </w:pPr>
      <w:r>
        <w:drawing>
          <wp:inline>
            <wp:extent cx="5852160" cy="5447708"/>
            <wp:effectExtent b="0" l="0" r="0" t="0"/>
            <wp:docPr descr="" title="" id="1" name="Picture"/>
            <a:graphic>
              <a:graphicData uri="http://schemas.openxmlformats.org/drawingml/2006/picture">
                <pic:pic>
                  <pic:nvPicPr>
                    <pic:cNvPr descr="/mnt/ssd1/Projects/PeakATail_wd/manuscript/figures/fig3_tradeoff.png" id="0" name="Picture"/>
                    <pic:cNvPicPr>
                      <a:picLocks noChangeArrowheads="1" noChangeAspect="1"/>
                    </pic:cNvPicPr>
                  </pic:nvPicPr>
                  <pic:blipFill>
                    <a:blip r:embed="rId29"/>
                    <a:stretch>
                      <a:fillRect/>
                    </a:stretch>
                  </pic:blipFill>
                  <pic:spPr bwMode="auto">
                    <a:xfrm>
                      <a:off x="0" y="0"/>
                      <a:ext cx="5852160" cy="5447708"/>
                    </a:xfrm>
                    <a:prstGeom prst="rect">
                      <a:avLst/>
                    </a:prstGeom>
                    <a:noFill/>
                    <a:ln w="9525">
                      <a:noFill/>
                      <a:headEnd/>
                      <a:tailEnd/>
                    </a:ln>
                  </pic:spPr>
                </pic:pic>
              </a:graphicData>
            </a:graphic>
          </wp:inline>
        </w:drawing>
      </w:r>
    </w:p>
    <w:p>
      <w:pPr>
        <w:pStyle w:val="FigureLegend"/>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30" w:name="X3e09469c8b856eb20eb9d08b33ef3a45cdfaf72"/>
      <w:r>
        <w:t xml:space="preserve">2.4 The switch test is calibrated because the shipped defaults were not</w:t>
      </w:r>
      <w:bookmarkEnd w:id="30"/>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the shipped top-200 Wilcoxon marker pre-selection on and off.</w:t>
      </w:r>
    </w:p>
    <w:p>
      <w:pPr>
        <w:pStyle w:val="FigureImage"/>
      </w:pPr>
      <w:r>
        <w:drawing>
          <wp:inline>
            <wp:extent cx="5852160" cy="2740362"/>
            <wp:effectExtent b="0" l="0" r="0" t="0"/>
            <wp:docPr descr="" title="" id="1" name="Picture"/>
            <a:graphic>
              <a:graphicData uri="http://schemas.openxmlformats.org/drawingml/2006/picture">
                <pic:pic>
                  <pic:nvPicPr>
                    <pic:cNvPr descr="/mnt/ssd1/Projects/PeakATail_wd/manuscript/figures/fig4_calibration.png" id="0" name="Picture"/>
                    <pic:cNvPicPr>
                      <a:picLocks noChangeArrowheads="1" noChangeAspect="1"/>
                    </pic:cNvPicPr>
                  </pic:nvPicPr>
                  <pic:blipFill>
                    <a:blip r:embed="rId31"/>
                    <a:stretch>
                      <a:fillRect/>
                    </a:stretch>
                  </pic:blipFill>
                  <pic:spPr bwMode="auto">
                    <a:xfrm>
                      <a:off x="0" y="0"/>
                      <a:ext cx="5852160" cy="2740362"/>
                    </a:xfrm>
                    <a:prstGeom prst="rect">
                      <a:avLst/>
                    </a:prstGeom>
                    <a:noFill/>
                    <a:ln w="9525">
                      <a:noFill/>
                      <a:headEnd/>
                      <a:tailEnd/>
                    </a:ln>
                  </pic:spPr>
                </pic:pic>
              </a:graphicData>
            </a:graphic>
          </wp:inline>
        </w:drawing>
      </w:r>
    </w:p>
    <w:p>
      <w:pPr>
        <w:pStyle w:val="FigureLegend"/>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shipped default, or</w:t>
      </w:r>
      <w:r>
        <w:rPr>
          <w:sz w:val="20"/>
        </w:rPr>
        <w:t xml:space="preserve"> </w:t>
      </w:r>
      <w:r>
        <w:rPr>
          <w:rStyle w:val="VerbatimChar"/>
          <w:sz w:val="20"/>
        </w:rPr>
        <w:t xml:space="preserve">0</w:t>
      </w:r>
      <w:r>
        <w:rPr>
          <w:sz w:val="20"/>
        </w:rPr>
        <w:t xml:space="preserve">).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shipped top-200 marker pre-selection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ships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32" w:name="X7e1f3d3075237f6eab559c0a6267668a6c1c183"/>
      <w:r>
        <w:t xml:space="preserve">2.5 A biological control with its own nulls: the spermatogenesis gradient</w:t>
      </w:r>
      <w:bookmarkEnd w:id="32"/>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FigureImage"/>
      </w:pPr>
      <w:r>
        <w:drawing>
          <wp:inline>
            <wp:extent cx="5852160" cy="5819143"/>
            <wp:effectExtent b="0" l="0" r="0" t="0"/>
            <wp:docPr descr="" title="" id="1" name="Picture"/>
            <a:graphic>
              <a:graphicData uri="http://schemas.openxmlformats.org/drawingml/2006/picture">
                <pic:pic>
                  <pic:nvPicPr>
                    <pic:cNvPr descr="/mnt/ssd1/Projects/PeakATail_wd/manuscript/figures/fig5_spermatogenesis.png" id="0" name="Picture"/>
                    <pic:cNvPicPr>
                      <a:picLocks noChangeArrowheads="1" noChangeAspect="1"/>
                    </pic:cNvPicPr>
                  </pic:nvPicPr>
                  <pic:blipFill>
                    <a:blip r:embed="rId33"/>
                    <a:stretch>
                      <a:fillRect/>
                    </a:stretch>
                  </pic:blipFill>
                  <pic:spPr bwMode="auto">
                    <a:xfrm>
                      <a:off x="0" y="0"/>
                      <a:ext cx="5852160" cy="5819143"/>
                    </a:xfrm>
                    <a:prstGeom prst="rect">
                      <a:avLst/>
                    </a:prstGeom>
                    <a:noFill/>
                    <a:ln w="9525">
                      <a:noFill/>
                      <a:headEnd/>
                      <a:tailEnd/>
                    </a:ln>
                  </pic:spPr>
                </pic:pic>
              </a:graphicData>
            </a:graphic>
          </wp:inline>
        </w:drawing>
      </w:r>
    </w:p>
    <w:p>
      <w:pPr>
        <w:pStyle w:val="FigureLegend"/>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under revision in overlapping loci (tool issue #99), which is not excluded for individual panel verdicts; and the 3′UTR-scoped PDUI arm still cannot be produced (tool issue #98).</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is under revision in overlapping loci (tool issue #99), so per-gene mis-assignment could contribute to individual panel verdicts. Replication here is two mice of one study and one chemistry: it controls animal-level noise, not protocol-level artefacts.</w:t>
      </w:r>
    </w:p>
    <w:p>
      <w:pPr>
        <w:pStyle w:val="Heading2"/>
      </w:pPr>
      <w:bookmarkStart w:id="34" w:name="X2d5e7693b5534ed0842618923718d8682f2392c"/>
      <w:r>
        <w:t xml:space="preserve">2.6 Reliable cell-type APA switches in a tumour cohort</w:t>
      </w:r>
      <w:bookmarkEnd w:id="34"/>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FigureImage"/>
      </w:pPr>
      <w:r>
        <w:drawing>
          <wp:inline>
            <wp:extent cx="5852160" cy="5406438"/>
            <wp:effectExtent b="0" l="0" r="0" t="0"/>
            <wp:docPr descr="" title="" id="1" name="Picture"/>
            <a:graphic>
              <a:graphicData uri="http://schemas.openxmlformats.org/drawingml/2006/picture">
                <pic:pic>
                  <pic:nvPicPr>
                    <pic:cNvPr descr="/mnt/ssd1/Projects/PeakATail_wd/manuscript/figures/fig6_cohort.png" id="0" name="Picture"/>
                    <pic:cNvPicPr>
                      <a:picLocks noChangeArrowheads="1" noChangeAspect="1"/>
                    </pic:cNvPicPr>
                  </pic:nvPicPr>
                  <pic:blipFill>
                    <a:blip r:embed="rId35"/>
                    <a:stretch>
                      <a:fillRect/>
                    </a:stretch>
                  </pic:blipFill>
                  <pic:spPr bwMode="auto">
                    <a:xfrm>
                      <a:off x="0" y="0"/>
                      <a:ext cx="5852160" cy="5406438"/>
                    </a:xfrm>
                    <a:prstGeom prst="rect">
                      <a:avLst/>
                    </a:prstGeom>
                    <a:noFill/>
                    <a:ln w="9525">
                      <a:noFill/>
                      <a:headEnd/>
                      <a:tailEnd/>
                    </a:ln>
                  </pic:spPr>
                </pic:pic>
              </a:graphicData>
            </a:graphic>
          </wp:inline>
        </w:drawing>
      </w:r>
    </w:p>
    <w:p>
      <w:pPr>
        <w:pStyle w:val="FigureLegend"/>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under revision (tool issue #99), while every PAS-keyed statistic is unaffected; the null resolves only to an empirical p ≤ 0.091, the ten-permutation floor, so report "none in ten label-shuffle nulls" and never an FDR; no ranked list of named top-switch genes may be published until the assignment is fixed, because 12 of the top-30 gene-level rows name a gene whose 3′UTR does not contain the representative PAS;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until PAS-to-gene re-assignment lands (the same issue).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6" w:name="what-did-not-work-reported-as-results"/>
      <w:r>
        <w:t xml:space="preserve">2.7 What did not work, reported as results</w:t>
      </w:r>
      <w:bookmarkEnd w:id="36"/>
    </w:p>
    <w:p>
      <w:pPr>
        <w:pStyle w:val="FirstParagraph"/>
      </w:pPr>
      <w:r>
        <w:t xml:space="preserve">We pre-registered four claims and their acceptance gates before the final run existed and report all four outcomes (Figs S7, S10–S12).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The discipline is drawn, not asserted (Fig S11).</w:t>
      </w:r>
      <w:r>
        <w:t xml:space="preserve"> </w:t>
      </w:r>
      <w:r>
        <w:t xml:space="preserve">The pre-registration record, covering every gate, every arm, both failures and one disclosed post-hoc sweep, is an auditable timeline: gates carry git-verified commit times where they exist, outcomes include both failures, and the one still-untested pre-registration is marked pending rather than omitted.</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verified byte-for-byte across caller versions in Fig S12.</w:t>
      </w:r>
    </w:p>
    <w:p>
      <w:pPr>
        <w:pStyle w:val="Heading1"/>
      </w:pPr>
      <w:bookmarkStart w:id="37" w:name="discussion"/>
      <w:r>
        <w:t xml:space="preserve">3 Discussion</w:t>
      </w:r>
      <w:bookmarkEnd w:id="37"/>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(Fig S12), so every gate here pairs atlas agreement with an atlas-independent long-read check, and the field's benchmarks should too. Second, pre-registration repeatedly caught our own overclaims, and Fig S11's timeline carries the audit: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are open publicly: PAS-to-gene assignment in overlapping loci is under revision (issue #99), so cohort switches are keyed by PAS identifier and no ranked gene list appears here; and the per_isoform switch mode has a degenerate-pair defect (issue #98) and underlies no result here.</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8" w:name="conclusions"/>
      <w:r>
        <w:t xml:space="preserve">4 Conclusions</w:t>
      </w:r>
      <w:bookmarkEnd w:id="38"/>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9" w:name="methods"/>
      <w:r>
        <w:t xml:space="preserve">5 Methods</w:t>
      </w:r>
      <w:bookmarkEnd w:id="39"/>
    </w:p>
    <w:p>
      <w:pPr>
        <w:pStyle w:val="Heading2"/>
      </w:pPr>
      <w:bookmarkStart w:id="40" w:name="datasets-and-reference-resources"/>
      <w:r>
        <w:t xml:space="preserve">5.1 Datasets and reference resources</w:t>
      </w:r>
      <w:bookmarkEnd w:id="40"/>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41" w:name="Xb967b89a23bd6982e314de3c50492bdc63dd052"/>
      <w:r>
        <w:t xml:space="preserve">5.2 The caller and the pre-registered default output</w:t>
      </w:r>
      <w:bookmarkEnd w:id="41"/>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The tool's</w:t>
      </w:r>
      <w:r>
        <w:t xml:space="preserve"> </w:t>
      </w:r>
      <w:r>
        <w:rPr>
          <w:rStyle w:val="VerbatimChar"/>
        </w:rPr>
        <w:t xml:space="preserve">--ip-filter-mode</w:t>
      </w:r>
      <w:r>
        <w:t xml:space="preserve"> </w:t>
      </w:r>
      <w:r>
        <w:t xml:space="preserve">default,</w:t>
      </w:r>
      <w:r>
        <w:t xml:space="preserve"> </w:t>
      </w:r>
      <w:r>
        <w:rPr>
          <w:rStyle w:val="VerbatimChar"/>
        </w:rPr>
        <w:t xml:space="preserve">annotate</w:t>
      </w:r>
      <w:r>
        <w:t xml:space="preserve">, keeps every site and records the flag; every benchmark arm passed</w:t>
      </w:r>
      <w:r>
        <w:t xml:space="preserve"> </w:t>
      </w:r>
      <w:r>
        <w:rPr>
          <w:rStyle w:val="VerbatimChar"/>
        </w:rPr>
        <w:t xml:space="preserve">--ip-filter --ip-filter-mode filter</w:t>
      </w:r>
      <w:r>
        <w:t xml:space="preserve"> </w:t>
      </w:r>
      <w:r>
        <w:t xml:space="preserve">explicitly, which removes flagged sites.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42" w:name="benchmark-protocol"/>
      <w:r>
        <w:t xml:space="preserve">5.3 Benchmark protocol</w:t>
      </w:r>
      <w:bookmarkEnd w:id="42"/>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43" w:name="long-read-truth-construction"/>
      <w:r>
        <w:t xml:space="preserve">5.4 Long-read truth construction</w:t>
      </w:r>
      <w:bookmarkEnd w:id="43"/>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44" w:name="pre-registration-practice"/>
      <w:r>
        <w:t xml:space="preserve">5.5 Pre-registration practice</w:t>
      </w:r>
      <w:bookmarkEnd w:id="44"/>
    </w:p>
    <w:p>
      <w:pPr>
        <w:pStyle w:val="FirstParagraph"/>
      </w:pPr>
      <w:r>
        <w:t xml:space="preserve">Every acceptance gate was committed before the run it judges; the record is drawn as an auditable timeline (Fig S11).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Fig S12). Every prime-branch number is exploratory with respect to the manuscript's gates.</w:t>
      </w:r>
    </w:p>
    <w:p>
      <w:pPr>
        <w:pStyle w:val="Heading2"/>
      </w:pPr>
      <w:bookmarkStart w:id="45" w:name="Xae693b0aae593a84298b7bf3eb9f8a4941e5923"/>
      <w:r>
        <w:t xml:space="preserve">5.6 Differential APA test and its calibration</w:t>
      </w:r>
      <w:bookmarkEnd w:id="45"/>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6" w:name="cohort-switch-replication-laughney"/>
      <w:r>
        <w:t xml:space="preserve">5.7 Cohort switch replication (Laughney)</w:t>
      </w:r>
      <w:bookmarkEnd w:id="46"/>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PAS-to-gene assignment in overlapping loci is under revision (tool issue #99).</w:t>
      </w:r>
    </w:p>
    <w:p>
      <w:pPr>
        <w:pStyle w:val="Heading2"/>
      </w:pPr>
      <w:bookmarkStart w:id="47" w:name="spermatogenesis-analysis"/>
      <w:r>
        <w:t xml:space="preserve">5.8 Spermatogenesis analysis</w:t>
      </w:r>
      <w:bookmarkEnd w:id="47"/>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8" w:name="second-library-generalisation-test"/>
      <w:r>
        <w:t xml:space="preserve">5.9 Second-library generalisation test</w:t>
      </w:r>
      <w:bookmarkEnd w:id="48"/>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9" w:name="compute-environment"/>
      <w:r>
        <w:t xml:space="preserve">5.10 Compute environment</w:t>
      </w:r>
      <w:bookmarkEnd w:id="49"/>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50" w:name="declarations"/>
      <w:r>
        <w:t xml:space="preserve">Declarations</w:t>
      </w:r>
      <w:bookmarkEnd w:id="50"/>
    </w:p>
    <w:p>
      <w:pPr>
        <w:pStyle w:val="Heading2"/>
      </w:pPr>
      <w:bookmarkStart w:id="51" w:name="availability-of-data-and-materials"/>
      <w:r>
        <w:t xml:space="preserve">Availability of data and materials</w:t>
      </w:r>
      <w:bookmarkEnd w:id="51"/>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#95 (internal-priming filter and memory), #98 (</w:t>
      </w:r>
      <w:r>
        <w:rPr>
          <w:rStyle w:val="VerbatimChar"/>
        </w:rPr>
        <w:t xml:space="preserve">per_isoform</w:t>
      </w:r>
      <w:r>
        <w:t xml:space="preserve"> </w:t>
      </w:r>
      <w:r>
        <w:t xml:space="preserve">degenerate pairs), #99 (PAS-to-gene assignment in overlapping loci and the clip-rate sampling estimator) and #101 (dynamic-threshold crash and documentation defects).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52" w:name="Xd182db0490b2de20bd2b4e4cc8698599182035f"/>
      <w:r>
        <w:t xml:space="preserve">Ethics approval and consent to participate</w:t>
      </w:r>
      <w:bookmarkEnd w:id="52"/>
    </w:p>
    <w:p>
      <w:pPr>
        <w:pStyle w:val="FirstParagraph"/>
      </w:pPr>
      <w:r>
        <w:t xml:space="preserve">Not applicable. This study analyses only previously published, publicly available datasets; no new human or animal data were collected.</w:t>
      </w:r>
    </w:p>
    <w:p>
      <w:pPr>
        <w:pStyle w:val="Heading2"/>
      </w:pPr>
      <w:bookmarkStart w:id="53" w:name="consent-for-publication"/>
      <w:r>
        <w:t xml:space="preserve">Consent for publication</w:t>
      </w:r>
      <w:bookmarkEnd w:id="53"/>
    </w:p>
    <w:p>
      <w:pPr>
        <w:pStyle w:val="FirstParagraph"/>
      </w:pPr>
      <w:r>
        <w:t xml:space="preserve">Not applicable.</w:t>
      </w:r>
    </w:p>
    <w:p>
      <w:pPr>
        <w:pStyle w:val="Heading2"/>
      </w:pPr>
      <w:bookmarkStart w:id="54" w:name="competing-interests"/>
      <w:r>
        <w:t xml:space="preserve">Competing interests</w:t>
      </w:r>
      <w:bookmarkEnd w:id="54"/>
    </w:p>
    <w:p>
      <w:pPr>
        <w:pStyle w:val="FirstParagraph"/>
      </w:pPr>
      <w:r>
        <w:t xml:space="preserve">[[PLACEHOLDER: competing interests statement — PI decision]]</w:t>
      </w:r>
    </w:p>
    <w:p>
      <w:pPr>
        <w:pStyle w:val="Heading2"/>
      </w:pPr>
      <w:bookmarkStart w:id="55" w:name="funding"/>
      <w:r>
        <w:t xml:space="preserve">Funding</w:t>
      </w:r>
      <w:bookmarkEnd w:id="55"/>
    </w:p>
    <w:p>
      <w:pPr>
        <w:pStyle w:val="FirstParagraph"/>
      </w:pPr>
      <w:r>
        <w:t xml:space="preserve">[[PLACEHOLDER: funding — PI decision]]</w:t>
      </w:r>
    </w:p>
    <w:p>
      <w:pPr>
        <w:pStyle w:val="Heading2"/>
      </w:pPr>
      <w:bookmarkStart w:id="56" w:name="authors-contributions"/>
      <w:r>
        <w:t xml:space="preserve">Authors' contributions</w:t>
      </w:r>
      <w:bookmarkEnd w:id="56"/>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7" w:name="acknowledgements"/>
      <w:r>
        <w:t xml:space="preserve">Acknowledgements</w:t>
      </w:r>
      <w:bookmarkEnd w:id="57"/>
    </w:p>
    <w:p>
      <w:pPr>
        <w:pStyle w:val="FirstParagraph"/>
      </w:pPr>
      <w:r>
        <w:t xml:space="preserve">[[PLACEHOLDER: acknowledgements — PI decision]]</w:t>
      </w:r>
    </w:p>
    <w:p>
      <w:pPr>
        <w:pStyle w:val="Heading2"/>
      </w:pPr>
      <w:bookmarkStart w:id="58" w:name="outstanding-items"/>
      <w:r>
        <w:t xml:space="preserve">Outstanding items</w:t>
      </w:r>
      <w:bookmarkEnd w:id="58"/>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pPr>
        <w:pStyle w:val="Heading1"/>
      </w:pPr>
      <w:bookmarkStart w:id="59" w:name="supplementary-information"/>
      <w:r>
        <w:t xml:space="preserve">Supplementary information</w:t>
      </w:r>
      <w:bookmarkEnd w:id="59"/>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p>
      <w:pPr>
        <w:pStyle w:val="BodyText"/>
      </w:pPr>
      <w:r>
        <w:rPr>
          <w:b/>
          <w:sz w:val="20"/>
        </w:rPr>
        <w:t xml:space="preserve">Fig S11 | The pre-registration record, drawn so it can be audited rather than taken on trust.</w:t>
      </w:r>
      <w:r>
        <w:rPr>
          <w:sz w:val="20"/>
        </w:rPr>
        <w:t xml:space="preserve"> </w:t>
      </w:r>
      <w:r>
        <w:rPr>
          <w:sz w:val="20"/>
        </w:rPr>
        <w:t xml:space="preserve">Timeline and gate table: every gate, every arm, both failures, the disclosed post-hoc sweep and the still-untested pre-registration; git-verified timestamps where they exist, display positions flagged where documents record no clock time.</w:t>
      </w:r>
    </w:p>
    <w:p>
      <w:pPr>
        <w:pStyle w:val="BodyText"/>
      </w:pPr>
      <w:r>
        <w:rPr>
          <w:b/>
          <w:sz w:val="20"/>
        </w:rPr>
        <w:t xml:space="preserve">Fig S12 | Four versions of the caller on four libraries, scored once.</w:t>
      </w:r>
      <w:r>
        <w:rPr>
          <w:sz w:val="20"/>
        </w:rPr>
        <w:t xml:space="preserve"> </w:t>
      </w:r>
      <w:r>
        <w:rPr>
          <w:sz w:val="20"/>
        </w:rPr>
        <w:t xml:space="preserve">prime's default is byte-identical to the v2 manuscript arm (pre-registered criterion FAILS at Δ exactly 0.000000, an identity, not a regression); everything prime is exploratory with respect to the manuscript's gates; v1 → v2 is a bug fix, not an accuracy gain.</w:t>
      </w:r>
    </w:p>
    <w:p>
      <w:pPr>
        <w:pStyle w:val="BodyText"/>
      </w:pPr>
      <w:r>
        <w:rPr>
          <w:b/>
        </w:rPr>
        <w:t xml:space="preserve">Supplementary Table T7 | Competitor tool versions, parameters, run commands and run-log caveats.</w:t>
      </w:r>
      <w:r>
        <w:t xml:space="preserve"> </w:t>
      </w:r>
      <w:r>
        <w:t xml:space="preserve">[In preparation, referenced from Methods; to be collated from the verified run registry and run logs before submission.]</w:t>
      </w:r>
    </w:p>
    <w:sectPr>
      <w:footerReference w:type="default" r:id="rId9"/>
      <w:pgSz w:w="11906" w:h="16838"/>
      <w:pgMar w:top="1134" w:right="1134" w:bottom="1134" w:left="1134" w:header="708" w:footer="708"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60" w:line="276" w:lineRule="auto"/>
      </w:pPr>
    </w:pPrDefault>
  </w:docDefaults>
  <w:latentStyles w:defLockedState="0" w:defUIPriority="0" w:defSemiHidden="0" w:defUnhideWhenUsed="0" w:defQFormat="0" w:count="276"/>
  <w:style w:type="paragraph" w:default="1" w:styleId="Normal">
    <w:name w:val="Normal"/>
    <w:qFormat/>
    <w:pPr>
      <w:spacing w:before="0" w:after="160" w:line="276" w:lineRule="auto"/>
      <w:jc w:val="both"/>
    </w:pPr>
  </w:style>
  <w:style w:type="paragraph" w:styleId="BodyText">
    <w:name w:val="Body Text"/>
    <w:basedOn w:val="Normal"/>
    <w:link w:val="BodyTextChar"/>
    <w:pPr>
      <w:spacing w:before="0" w:after="160" w:line="276" w:lineRule="auto"/>
      <w:jc w:val="both"/>
    </w:pPr>
    <w:qFormat/>
  </w:style>
  <w:style w:type="paragraph" w:customStyle="1" w:styleId="FirstParagraph">
    <w:name w:val="First Paragraph"/>
    <w:basedOn w:val="BodyText"/>
    <w:next w:val="BodyText"/>
    <w:qFormat/>
    <w:pPr>
      <w:spacing w:before="0" w:after="160" w:line="276" w:lineRule="auto"/>
      <w:jc w:val="both"/>
    </w:pPr>
  </w:style>
  <w:style w:type="paragraph" w:customStyle="1" w:styleId="Compact">
    <w:name w:val="Compact"/>
    <w:basedOn w:val="BodyText"/>
    <w:qFormat/>
    <w:pPr>
      <w:spacing w:before="0" w:after="64" w:line="276"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60" w:line="276"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6" Type="http://schemas.openxmlformats.org/officeDocument/2006/relationships/image" Target="media/rId26.png"/><Relationship Id="rId29" Type="http://schemas.openxmlformats.org/officeDocument/2006/relationships/image" Target="media/rId29.png"/><Relationship Id="rId31" Type="http://schemas.openxmlformats.org/officeDocument/2006/relationships/image" Target="media/rId31.png"/><Relationship Id="rId33" Type="http://schemas.openxmlformats.org/officeDocument/2006/relationships/image" Target="media/rId33.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manuscript - reading copy (figures inline)</dc:title>
  <dc:creator>Amir Amiri Tabat; Yasin Kaymaz</dc:creator>
  <cp:keywords/>
  <dcterms:created xsi:type="dcterms:W3CDTF">2026-09-06T09:08:05Z</dcterms:created>
  <dcterms:modified xsi:type="dcterms:W3CDTF">2026-09-06T09:08:05Z</dcterms:modified>
  <dc:description>Built from manuscript/00_draft by submission/build/build.sh; content unaltered.</dc:description>
</cp:coreProperties>
</file>

<file path=docProps/custom.xml><?xml version="1.0" encoding="utf-8"?>
<Properties xmlns="http://schemas.openxmlformats.org/officeDocument/2006/custom-properties" xmlns:vt="http://schemas.openxmlformats.org/officeDocument/2006/docPropsVTypes"/>
</file>