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right="0" w:hanging="0"/>
        <w:jc w:val="center"/>
        <w:spacing w:lineRule="auto" w:line="240" w:after="240" w:before="240"/>
      </w:pPr>
      <w:r>
        <w:rPr>
          <w:b/>
          <w:i w:val="false"/>
          <w:u w:val="none"/>
          <w:strike w:val="false"/>
          <w:rFonts w:ascii="Arial" w:hAnsi="Arial" w:cs="Arial" w:eastAsia="Arial"/>
          <w:sz w:val="32"/>
          <w:color w:val="000000"/>
          <w:vertAlign w:val="baseline"/>
        </w:rPr>
        <w:t xml:space="preserve">Contract for Sale of Goods</w:t>
      </w:r>
      <w:r>
        <w:rPr>
          <w:b w:val="false"/>
          <w:i w:val="false"/>
          <w:u w:val="none"/>
          <w:strike w:val="false"/>
          <w:rFonts w:ascii="Times New Roman" w:hAnsi="Times New Roman" w:cs="Times New Roman" w:eastAsia="Times New Roman"/>
          <w:sz w:val="24"/>
          <w:color w:val="000000"/>
          <w:vertAlign w:val="baseline"/>
        </w:rPr>
        <w:t xml:space="preserve">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This Contract for Sale of Goods is made this __ day of _______, 20__ by and between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_________, a [STATE OF ORGANIZATION OR RESIDENCE]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[CORPORATION/PARTNERSHIP/SOLE PROPRIETORSHIP/RESIDENT], with its principal place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of business at [COMPLETE ADDRESS], (“Seller”) and ___________, a [STATE OF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ORGANIZATION OR RESIDENCE] [CORPORATION/PARTNERSHIP/SOLE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PROPRIETORSHIP/RESIDENT], with its principal place of business at [COMPLETE ADDRESS]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(“Buyer”) for the purchase of the goods described below: </w:t>
      </w:r>
    </w:p>
    <w:tbl>
      <w:tblPr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957"/>
        <w:gridCol w:w="957"/>
      </w:tblGrid>
      <w:tr>
        <w:trPr/>
        <w:tc>
          <w:tcPr>
            <w:vMerge w:val="restart"/>
          </w:tcPr>
          <w:p>
            <w:pPr>
              <w:rPr>
                <w:b/>
                <w:rFonts w:ascii="Arial" w:hAnsi="Arial" w:cs="Arial" w:eastAsia="Arial"/>
                <w:sz w:val="22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Qty.</w:t>
            </w:r>
          </w:p>
        </w:tc>
        <w:tc>
          <w:tcPr>
            <w:vMerge w:val="restart"/>
          </w:tcPr>
          <w:p>
            <w:pPr>
              <w:rPr>
                <w:b/>
                <w:rFonts w:ascii="Arial" w:hAnsi="Arial" w:cs="Arial" w:eastAsia="Arial"/>
                <w:sz w:val="22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Item #</w:t>
            </w:r>
          </w:p>
        </w:tc>
        <w:tc>
          <w:tcPr>
            <w:gridSpan w:val="2"/>
            <w:vMerge w:val="restart"/>
          </w:tcPr>
          <w:p>
            <w:pPr>
              <w:rPr>
                <w:b/>
                <w:rFonts w:ascii="Arial" w:hAnsi="Arial" w:cs="Arial" w:eastAsia="Arial"/>
                <w:sz w:val="22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Description</w:t>
            </w:r>
          </w:p>
        </w:tc>
        <w:tc>
          <w:tcPr>
            <w:vMerge w:val="restart"/>
          </w:tcPr>
          <w:p>
            <w:pPr>
              <w:ind w:left="0" w:right="0" w:hanging="0"/>
              <w:spacing w:lineRule="auto" w:line="240" w:after="200" w:before="0"/>
              <w:rPr>
                <w:b/>
                <w:rFonts w:ascii="Arial" w:hAnsi="Arial" w:cs="Arial" w:eastAsia="Arial"/>
                <w:sz w:val="22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Price</w:t>
            </w:r>
          </w:p>
        </w:tc>
        <w:tc>
          <w:tcPr>
            <w:vMerge w:val="restart"/>
          </w:tcPr>
          <w:p>
            <w:pPr>
              <w:ind w:left="0" w:right="0" w:hanging="0"/>
              <w:spacing w:lineRule="auto" w:line="240" w:after="200" w:before="0"/>
              <w:rPr>
                <w:b/>
                <w:rFonts w:ascii="Arial" w:hAnsi="Arial" w:cs="Arial" w:eastAsia="Arial"/>
                <w:sz w:val="22"/>
              </w:rPr>
            </w:pPr>
            <w:r>
              <w:rPr>
                <w:b/>
                <w:i w:val="false"/>
                <w:u w:val="none"/>
                <w:strike w:val="false"/>
                <w:rFonts w:ascii="Arial" w:hAnsi="Arial" w:cs="Arial" w:eastAsia="Arial"/>
                <w:sz w:val="22"/>
                <w:color w:val="000000"/>
                <w:vertAlign w:val="baseline"/>
              </w:rPr>
              <w:t xml:space="preserve">Total</w:t>
            </w:r>
          </w:p>
        </w:tc>
      </w:tr>
      <w:tr>
        <w:trPr/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gridSpan w:val="2"/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</w:tr>
      <w:tr>
        <w:trPr/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gridSpan w:val="2"/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</w:tr>
      <w:tr>
        <w:trPr/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gridSpan w:val="2"/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  <w:tc>
          <w:tcPr>
            <w:vMerge w:val="restart"/>
          </w:tcPr>
          <w:p>
            <w:pPr>
              <w:rPr>
                <w:rFonts w:ascii="Arial" w:hAnsi="Arial" w:cs="Arial" w:eastAsia="Arial"/>
                <w:sz w:val="22"/>
              </w:rPr>
            </w:pPr>
          </w:p>
        </w:tc>
      </w:tr>
    </w:tbl>
    <w:p>
      <w:pPr>
        <w:ind w:left="0" w:right="0" w:hanging="0"/>
        <w:jc w:val="left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1. TERM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This Contract shall begin on __________, 20__, and end upon the last delivery, which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shall be shipped, with or without requisition for the balance of goods then unshipped,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by___________, 20__, unless the parties agree otherwise. However, if as of such date, Buyer is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in arrears on the account, Seller may then cancel this Contract and sue for its damages, including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lost profits, offsetting the deposit there against, and further recover its cost of suit including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attorney fees. </w:t>
      </w:r>
    </w:p>
    <w:p>
      <w:pPr>
        <w:ind w:left="0" w:right="0" w:hanging="0"/>
        <w:jc w:val="left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2. DELIVERY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Buyer will give Seller _____ days’ advance notice regarding the quantity requested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for delivery. Upon receipt of the request for delivery, Seller will arrange for delivery through a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carrier chosen by Seller, the costs of which shall be F.O.B.___________.  </w:t>
      </w:r>
    </w:p>
    <w:p>
      <w:pPr>
        <w:ind w:left="0" w:right="0" w:hanging="0"/>
        <w:jc w:val="left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3. RISK OF LOSS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The risk of loss from any casualty to the Goods, regardless of the cause, will be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the responsibility of the Seller until the Goods have been received by the Buyer.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4. ACCEPTANCE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Buyer will have the right to inspect the goods upon receipt, and within __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business days after delivery, Buyer must give notice to Seller of any claim for damages on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account of condition, quality, or grade of the goods, and Buyer must specify the basis of the claim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in detail. Failure of Buyer to comply with these conditions will constitute irrevocable acceptance of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the goods by Buyer. All notices between the parties must be in writing and delivered by courier or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by certified mail, return receipt requested.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5. CHARGES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Seller shall invoice Buyer upon and for each shipment. Buyer shall pay all charges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on terms of ___________________. Any late payment shall bear a late charge of ___%. Overdue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invoices shall also bear interest at the rate of ___% per ______. If Seller undertakes collection or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enforcement efforts, Buyer shall be liable for all costs thereof, including attorney fees. If Buyer is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in arrears on any invoice, Seller may, on notice to Buyer, apply the deposit thereto and withhold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further delivery until the deposit and all arrearages are brought current.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6. DEPOSIT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Upon signing this Contract, Buyer shall pay Seller a deposit of $_________ toward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the total price as a precondition for Seller's performance, which deposit is to be credited to the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last shipment.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7. WARRANTY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Seller warrants that the goods sold hereunder are new and free from substantive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defects in workmanship and materials. Seller's liability under the foregoing warranty is limited to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replacement of goods or repair of defects or refund of the purchase price at Seller's sole option.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No other warranty, express or implied, is made by Seller, and none shall be imputed or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presumed.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8. TAXES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All sales taxes, tariffs, and other governmental charges shall be paid by Buyer and are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Buyer's Responsibility Except As Limited By Law. 9. Governing Law. This Contract shall be governed by the laws of the State of _______. Any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disputes hereunder will be heard in the appropriate federal and state courts located in [NAME OF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COUNTY], [STATE].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10. FORCE</w:t>
      </w: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 MAJEURE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Seller may, without liability, delay performance or cancel this Contract on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account of force majeure events or other circumstances beyond its control, including, but not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limited to, strikes, acts of God, political unrest, embargo, failure of source of supply, or casualty. 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11. MISCELLANEOUS</w:t>
      </w:r>
    </w:p>
    <w:p>
      <w:pPr>
        <w:ind w:left="0" w:right="0" w:hanging="0"/>
        <w:spacing w:lineRule="auto" w:line="276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This Contract contains the entire agreement between the parties and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supersedes and replaces all such prior agreements with respect to matters expressly set forth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herein. No modification shall be made to this Contract except in writing and signed by both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parties. This Contract shall be binding upon the parties and their respective heirs, executors, </w:t>
      </w: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administrators, successors, assigns and personal representatives.  </w:t>
      </w:r>
    </w:p>
    <w:p>
      <w:pPr>
        <w:ind w:left="0" w:right="0" w:hanging="0"/>
        <w:spacing w:lineRule="auto" w:line="240" w:after="240" w:before="240"/>
        <w:rPr>
          <w:rFonts w:ascii="Arial" w:hAnsi="Arial" w:cs="Arial" w:eastAsia="Arial"/>
          <w:sz w:val="22"/>
        </w:rPr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_____________________________________  ______________________________________ </w:t>
      </w:r>
    </w:p>
    <w:p>
      <w:pPr>
        <w:ind w:left="0" w:right="0" w:hanging="0"/>
        <w:spacing w:lineRule="auto" w:line="240" w:after="240" w:before="240"/>
      </w:pPr>
      <w:r>
        <w:rPr>
          <w:b w:val="false"/>
          <w:i w:val="false"/>
          <w:u w:val="none"/>
          <w:strike w:val="false"/>
          <w:rFonts w:ascii="Arial" w:hAnsi="Arial" w:cs="Arial" w:eastAsia="Arial"/>
          <w:sz w:val="22"/>
          <w:color w:val="000000"/>
          <w:vertAlign w:val="baseline"/>
        </w:rPr>
        <w:t xml:space="preserve">Seller, Date                                                          Buyer, Date</w:t>
      </w:r>
      <w:r>
        <w:rPr>
          <w:b w:val="false"/>
          <w:i w:val="false"/>
          <w:u w:val="none"/>
          <w:strike w:val="false"/>
          <w:rFonts w:ascii="Times New Roman" w:hAnsi="Times New Roman" w:cs="Times New Roman" w:eastAsia="Times New Roman"/>
          <w:sz w:val="24"/>
          <w:color w:val="000000"/>
          <w:vertAlign w:val="baseline"/>
        </w:rPr>
        <w:t xml:space="preserve"> </w:t>
      </w:r>
    </w:p>
    <w:p/>
    <w:sectPr>
      <w:headerReference w:type="first" r:id="rId6"/>
      <w:headerReference w:type="default" r:id="rId7"/>
      <w:footerReference w:type="first" r:id="rId8"/>
      <w:footerReference w:type="default" r:id="rId9"/>
      <w:titlePg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fldChar w:fldCharType="end"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left="0" w:right="0" w:hanging="0"/>
      <w:jc w:val="center"/>
      <w:spacing w:lineRule="auto" w:line="240" w:after="240" w:before="240"/>
      <w:rPr>
        <w:color w:val="000000"/>
        <w:highlight w:val="red"/>
      </w:rPr>
    </w:pP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  <w:highlight w:val="white"/>
      </w:rPr>
      <w:t xml:space="preserve">Please note that this template is intended to demonstrate some editing features only and should </w:t>
    </w:r>
    <w:r>
      <w:rPr>
        <w:b w:val="false"/>
        <w:i w:val="false"/>
        <w:u w:val="none"/>
        <w:strike w:val="false"/>
        <w:rFonts w:ascii="Times New Roman" w:hAnsi="Times New Roman" w:cs="Times New Roman" w:eastAsia="Times New Roman"/>
        <w:sz w:val="20"/>
        <w:color w:val="000000"/>
        <w:vertAlign w:val="baseline"/>
        <w:highlight w:val="white"/>
      </w:rPr>
      <w:t xml:space="preserve">not be used without consulting with an expert knowledgeable in the laws. </w:t>
    </w:r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w:zoom w:percent="10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color w:val="000000"/>
        <w:spacing w:val="0"/>
        <w:position w:val="0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b/>
      <w:sz w:val="48"/>
      <w:color w:val="000000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b/>
      <w:sz w:val="40"/>
      <w:color w:val="00000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b/>
      <w:i/>
      <w:sz w:val="36"/>
      <w:color w:val="000000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sz w:val="32"/>
      <w:color w:val="232323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b/>
      <w:sz w:val="28"/>
      <w:color w:val="444444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i/>
      <w:sz w:val="28"/>
      <w:color w:val="232323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b/>
      <w:sz w:val="24"/>
      <w:color w:val="606060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sz w:val="24"/>
      <w:color w:val="44444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i/>
      <w:sz w:val="23"/>
      <w:color w:val="444444"/>
    </w:rPr>
    <w:pPr>
      <w:keepLines/>
      <w:keepNext/>
      <w:spacing w:after="0" w:before="200"/>
    </w:pPr>
  </w:style>
  <w:style w:type="paragraph" w:styleId="19">
    <w:name w:val="Head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0">
    <w:name w:val="Footer"/>
    <w:basedOn w:val="a"/>
    <w:uiPriority w:val="99"/>
    <w:unhideWhenUsed/>
    <w:rPr>
      <w:rFonts w:ascii="Arial" w:hAnsi="Arial" w:cs="Arial" w:eastAsia="Arial"/>
      <w:sz w:val="20"/>
      <w:color w:val="000000"/>
    </w:rPr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sz w:val="18"/>
      <w:color w:val="373737"/>
    </w:rPr>
    <w:pPr>
      <w:ind w:left="3402"/>
      <w:pBdr>
        <w:left w:val="single" w:color="A6A6A6" w:sz="12" w:space="4"/>
        <w:bottom w:val="single" w:color="A6A6A6" w:sz="12" w:space="1"/>
      </w:pBdr>
    </w:pPr>
  </w:style>
  <w:style w:type="table" w:styleId="22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3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24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25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26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27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28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29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0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1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2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3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34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35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36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37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38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9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0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1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2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4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rPr>
      <w:rFonts w:ascii="Arial" w:hAnsi="Arial" w:cs="Arial" w:eastAsia="Arial"/>
      <w:color w:val="000000"/>
    </w:rPr>
  </w:style>
  <w:style w:type="character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qFormat/>
    <w:uiPriority w:val="1"/>
    <w:rPr>
      <w:rFonts w:ascii="Arial" w:hAnsi="Arial" w:cs="Arial" w:eastAsia="Arial"/>
      <w:color w:val="000000"/>
    </w:rPr>
    <w:pPr>
      <w:ind w:firstLine="567"/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i/>
      <w:sz w:val="52"/>
      <w:color w:val="444444"/>
    </w:rPr>
    <w:p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i/>
      <w:sz w:val="19"/>
      <w:color w:val="606060"/>
    </w:rPr>
    <w:pPr>
      <w:ind w:left="567" w:right="567"/>
      <w:shd w:fill="D9D9D9" w:val="clear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b/>
      <w:sz w:val="72"/>
      <w:color w:val="000000"/>
    </w:rPr>
    <w:pPr>
      <w:spacing w:lineRule="auto" w:line="240" w:after="80" w:before="300"/>
      <w:pBdr>
        <w:bottom w:val="single" w:color="000000" w:sz="24" w:space="0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2.xml" /><Relationship Id="rId7" Type="http://schemas.openxmlformats.org/officeDocument/2006/relationships/header" Target="header1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