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50FBA">
      <w:pPr>
        <w:pStyle w:val="31"/>
      </w:pPr>
      <w:r>
        <w:t>彼方委托所 V3</w:t>
      </w:r>
      <w:r>
        <w:br w:type="textWrapping"/>
      </w:r>
      <w:r>
        <w:t>策划确认事项与建议</w:t>
      </w:r>
    </w:p>
    <w:p w14:paraId="0914ACE4">
      <w:r>
        <w:rPr>
          <w:b w:val="0"/>
        </w:rPr>
        <w:t>审阅对象  策划负责人及协作成员    日期  2026年10月17日</w:t>
      </w:r>
    </w:p>
    <w:p w14:paraId="7289EC39">
      <w:pPr>
        <w:pStyle w:val="4"/>
      </w:pPr>
      <w:r>
        <w:t>事项1 世界编号与显示名称</w:t>
      </w:r>
    </w:p>
    <w:p w14:paraId="57B0F6C2">
      <w:r>
        <w:rPr>
          <w:b w:val="0"/>
        </w:rPr>
        <w:t>需要确定两个旧内部编号与新世界名称的对应关系。编号供程序识别，玩家只看到统一的中文名称。建议保留编号，确认后不再交换。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68"/>
        <w:gridCol w:w="1701"/>
        <w:gridCol w:w="5556"/>
      </w:tblGrid>
      <w:tr w14:paraId="235F73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AF9A129">
            <w:pPr>
              <w:spacing w:after="0" w:line="269" w:lineRule="auto"/>
            </w:pPr>
            <w:r>
              <w:rPr>
                <w:b/>
                <w:sz w:val="19"/>
              </w:rPr>
              <w:t>现有内部编号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526D722">
            <w:pPr>
              <w:spacing w:after="0" w:line="269" w:lineRule="auto"/>
            </w:pPr>
            <w:r>
              <w:rPr>
                <w:b/>
                <w:sz w:val="19"/>
              </w:rPr>
              <w:t>建议显示名称</w:t>
            </w:r>
          </w:p>
        </w:tc>
        <w:tc>
          <w:tcPr>
            <w:tcW w:w="5556" w:type="dxa"/>
            <w:shd w:val="clear" w:color="auto" w:fill="E7EDF3"/>
            <w:vAlign w:val="center"/>
          </w:tcPr>
          <w:p w14:paraId="4DFC0FBF">
            <w:pPr>
              <w:spacing w:after="0" w:line="269" w:lineRule="auto"/>
            </w:pPr>
            <w:r>
              <w:rPr>
                <w:b/>
                <w:sz w:val="19"/>
              </w:rPr>
              <w:t>确认后的处理</w:t>
            </w:r>
          </w:p>
        </w:tc>
      </w:tr>
      <w:tr w14:paraId="5348AE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E8A634B">
            <w:pPr>
              <w:spacing w:after="0" w:line="269" w:lineRule="auto"/>
            </w:pPr>
            <w:r>
              <w:rPr>
                <w:b w:val="0"/>
                <w:sz w:val="19"/>
              </w:rPr>
              <w:t>Utopia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C624DD">
            <w:pPr>
              <w:spacing w:after="0" w:line="269" w:lineRule="auto"/>
            </w:pPr>
            <w:r>
              <w:rPr>
                <w:b w:val="0"/>
                <w:sz w:val="19"/>
              </w:rPr>
              <w:t>灵虚</w:t>
            </w:r>
          </w:p>
        </w:tc>
        <w:tc>
          <w:tcPr>
            <w:tcW w:w="5556" w:type="dxa"/>
            <w:shd w:val="clear" w:color="auto" w:fill="FFFFFF"/>
            <w:vAlign w:val="center"/>
          </w:tcPr>
          <w:p w14:paraId="247E86EA">
            <w:pPr>
              <w:spacing w:after="0" w:line="269" w:lineRule="auto"/>
            </w:pPr>
            <w:r>
              <w:rPr>
                <w:b w:val="0"/>
                <w:sz w:val="19"/>
              </w:rPr>
              <w:t>各界面及文书统一读取配置</w:t>
            </w:r>
          </w:p>
        </w:tc>
      </w:tr>
      <w:tr w14:paraId="3CA573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8FA"/>
            <w:vAlign w:val="center"/>
          </w:tcPr>
          <w:p w14:paraId="7D83A45B">
            <w:pPr>
              <w:spacing w:after="0" w:line="269" w:lineRule="auto"/>
            </w:pPr>
            <w:r>
              <w:rPr>
                <w:b w:val="0"/>
                <w:sz w:val="19"/>
              </w:rPr>
              <w:t>AntiUtopia</w:t>
            </w:r>
          </w:p>
        </w:tc>
        <w:tc>
          <w:tcPr>
            <w:tcW w:w="1701" w:type="dxa"/>
            <w:shd w:val="clear" w:color="auto" w:fill="F7F8FA"/>
            <w:vAlign w:val="center"/>
          </w:tcPr>
          <w:p w14:paraId="38887CF5">
            <w:pPr>
              <w:spacing w:after="0" w:line="269" w:lineRule="auto"/>
            </w:pPr>
            <w:r>
              <w:rPr>
                <w:b w:val="0"/>
                <w:sz w:val="19"/>
              </w:rPr>
              <w:t>废墟</w:t>
            </w:r>
          </w:p>
        </w:tc>
        <w:tc>
          <w:tcPr>
            <w:tcW w:w="5556" w:type="dxa"/>
            <w:shd w:val="clear" w:color="auto" w:fill="F7F8FA"/>
            <w:vAlign w:val="center"/>
          </w:tcPr>
          <w:p w14:paraId="180886C9">
            <w:pPr>
              <w:spacing w:after="0" w:line="269" w:lineRule="auto"/>
            </w:pPr>
            <w:r>
              <w:rPr>
                <w:b w:val="0"/>
                <w:sz w:val="19"/>
              </w:rPr>
              <w:t>保留原编号及已有资产引用</w:t>
            </w:r>
          </w:p>
        </w:tc>
      </w:tr>
    </w:tbl>
    <w:p w14:paraId="23ED35CF">
      <w:pPr>
        <w:spacing w:before="0" w:after="40" w:line="20" w:lineRule="exact"/>
      </w:pPr>
    </w:p>
    <w:p w14:paraId="44155612">
      <w:r>
        <w:rPr>
          <w:b/>
        </w:rPr>
        <w:t>请策划确认  是否采用上述映射  采用建议 / 修改后采用：________________</w:t>
      </w:r>
    </w:p>
    <w:p w14:paraId="5C4ADF75">
      <w:pPr>
        <w:pStyle w:val="4"/>
      </w:pPr>
      <w:r>
        <w:t>事项2 基础比例与调查参数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268"/>
        <w:gridCol w:w="2268"/>
        <w:gridCol w:w="4989"/>
      </w:tblGrid>
      <w:tr w14:paraId="267BD7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F74C72A">
            <w:pPr>
              <w:spacing w:after="0" w:line="269" w:lineRule="auto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4CCBFE09">
            <w:pPr>
              <w:spacing w:after="0" w:line="269" w:lineRule="auto"/>
            </w:pPr>
            <w:r>
              <w:rPr>
                <w:b/>
                <w:sz w:val="19"/>
              </w:rPr>
              <w:t>首版建议</w:t>
            </w:r>
          </w:p>
        </w:tc>
        <w:tc>
          <w:tcPr>
            <w:tcW w:w="4989" w:type="dxa"/>
            <w:shd w:val="clear" w:color="auto" w:fill="E7EDF3"/>
            <w:vAlign w:val="center"/>
          </w:tcPr>
          <w:p w14:paraId="45043F16">
            <w:pPr>
              <w:spacing w:after="0" w:line="269" w:lineRule="auto"/>
            </w:pPr>
            <w:r>
              <w:rPr>
                <w:b/>
                <w:sz w:val="19"/>
              </w:rPr>
              <w:t>需要说明的行为</w:t>
            </w:r>
          </w:p>
        </w:tc>
      </w:tr>
      <w:tr w14:paraId="746680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72DC725">
            <w:pPr>
              <w:spacing w:after="0" w:line="269" w:lineRule="auto"/>
            </w:pPr>
            <w:r>
              <w:rPr>
                <w:b w:val="0"/>
                <w:sz w:val="19"/>
              </w:rPr>
              <w:t>来源世界比例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D10350F">
            <w:pPr>
              <w:spacing w:after="0" w:line="269" w:lineRule="auto"/>
            </w:pPr>
            <w:r>
              <w:rPr>
                <w:b w:val="0"/>
                <w:sz w:val="19"/>
              </w:rPr>
              <w:t>各50%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2DAECB3">
            <w:pPr>
              <w:spacing w:after="0" w:line="269" w:lineRule="auto"/>
            </w:pPr>
            <w:r>
              <w:rPr>
                <w:b w:val="0"/>
                <w:sz w:val="19"/>
              </w:rPr>
              <w:t>与申报目的地独立抽取</w:t>
            </w:r>
          </w:p>
        </w:tc>
      </w:tr>
      <w:tr w14:paraId="5B7F6C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8FA"/>
            <w:vAlign w:val="center"/>
          </w:tcPr>
          <w:p w14:paraId="0A47389B">
            <w:pPr>
              <w:spacing w:after="0" w:line="269" w:lineRule="auto"/>
            </w:pPr>
            <w:r>
              <w:rPr>
                <w:b w:val="0"/>
                <w:sz w:val="19"/>
              </w:rPr>
              <w:t>申报目的地比例</w:t>
            </w:r>
          </w:p>
        </w:tc>
        <w:tc>
          <w:tcPr>
            <w:tcW w:w="2268" w:type="dxa"/>
            <w:shd w:val="clear" w:color="auto" w:fill="F7F8FA"/>
            <w:vAlign w:val="center"/>
          </w:tcPr>
          <w:p w14:paraId="5DA28AF3">
            <w:pPr>
              <w:spacing w:after="0" w:line="269" w:lineRule="auto"/>
            </w:pPr>
            <w:r>
              <w:rPr>
                <w:b w:val="0"/>
                <w:sz w:val="19"/>
              </w:rPr>
              <w:t>各50%</w:t>
            </w:r>
          </w:p>
        </w:tc>
        <w:tc>
          <w:tcPr>
            <w:tcW w:w="4989" w:type="dxa"/>
            <w:shd w:val="clear" w:color="auto" w:fill="F7F8FA"/>
            <w:vAlign w:val="center"/>
          </w:tcPr>
          <w:p w14:paraId="45AEA6B9">
            <w:pPr>
              <w:spacing w:after="0" w:line="269" w:lineRule="auto"/>
            </w:pPr>
            <w:r>
              <w:rPr>
                <w:b w:val="0"/>
                <w:sz w:val="19"/>
              </w:rPr>
              <w:t>允许来源与申报不一致</w:t>
            </w:r>
          </w:p>
        </w:tc>
      </w:tr>
      <w:tr w14:paraId="02EA8C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16F12A">
            <w:pPr>
              <w:spacing w:after="0" w:line="269" w:lineRule="auto"/>
            </w:pPr>
            <w:r>
              <w:rPr>
                <w:b w:val="0"/>
                <w:sz w:val="19"/>
              </w:rPr>
              <w:t>调查额度与消耗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6829A05">
            <w:pPr>
              <w:spacing w:after="0" w:line="269" w:lineRule="auto"/>
            </w:pPr>
            <w:r>
              <w:rPr>
                <w:b w:val="0"/>
                <w:sz w:val="19"/>
              </w:rPr>
              <w:t>每天3额度 每次1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8644662">
            <w:pPr>
              <w:spacing w:after="0" w:line="269" w:lineRule="auto"/>
            </w:pPr>
            <w:r>
              <w:rPr>
                <w:b w:val="0"/>
                <w:sz w:val="19"/>
              </w:rPr>
              <w:t>每天8人时需要有所取舍</w:t>
            </w:r>
          </w:p>
        </w:tc>
      </w:tr>
      <w:tr w14:paraId="29AABC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8FA"/>
            <w:vAlign w:val="center"/>
          </w:tcPr>
          <w:p w14:paraId="7A454C60">
            <w:pPr>
              <w:spacing w:after="0" w:line="269" w:lineRule="auto"/>
            </w:pPr>
            <w:r>
              <w:rPr>
                <w:b w:val="0"/>
                <w:sz w:val="19"/>
              </w:rPr>
              <w:t>信任范围与初值</w:t>
            </w:r>
          </w:p>
        </w:tc>
        <w:tc>
          <w:tcPr>
            <w:tcW w:w="2268" w:type="dxa"/>
            <w:shd w:val="clear" w:color="auto" w:fill="F7F8FA"/>
            <w:vAlign w:val="center"/>
          </w:tcPr>
          <w:p w14:paraId="172CF6AB">
            <w:pPr>
              <w:spacing w:after="0" w:line="269" w:lineRule="auto"/>
            </w:pPr>
            <w:r>
              <w:rPr>
                <w:b w:val="0"/>
                <w:sz w:val="19"/>
              </w:rPr>
              <w:t>0至100 初始50</w:t>
            </w:r>
          </w:p>
        </w:tc>
        <w:tc>
          <w:tcPr>
            <w:tcW w:w="4989" w:type="dxa"/>
            <w:shd w:val="clear" w:color="auto" w:fill="F7F8FA"/>
            <w:vAlign w:val="center"/>
          </w:tcPr>
          <w:p w14:paraId="6DC4E4FC">
            <w:pPr>
              <w:spacing w:after="0" w:line="269" w:lineRule="auto"/>
            </w:pPr>
            <w:r>
              <w:rPr>
                <w:b w:val="0"/>
                <w:sz w:val="19"/>
              </w:rPr>
              <w:t>上下限统一生效</w:t>
            </w:r>
          </w:p>
        </w:tc>
      </w:tr>
    </w:tbl>
    <w:p w14:paraId="6B6C15E6">
      <w:pPr>
        <w:spacing w:before="0" w:after="40" w:line="20" w:lineRule="exact"/>
      </w:pPr>
    </w:p>
    <w:p w14:paraId="3B89FB41">
      <w:r>
        <w:rPr>
          <w:b w:val="0"/>
        </w:rPr>
        <w:t>目前一次调查会返回较完整的真实信息。请同时确认调查应揭示哪些内容；若只允许揭示某条线索，需要另行定义调查类型和结果。</w:t>
      </w:r>
    </w:p>
    <w:p w14:paraId="6D76C8FD">
      <w:r>
        <w:rPr>
          <w:b/>
        </w:rPr>
        <w:t>请策划确认  来源及申报比例、调查次数和信息范围、信任范围：________________</w:t>
      </w:r>
    </w:p>
    <w:p w14:paraId="6A0C7524">
      <w:pPr>
        <w:pStyle w:val="3"/>
        <w:pageBreakBefore/>
      </w:pPr>
      <w:r>
        <w:t>事项3与事项4 准入规则</w:t>
      </w:r>
    </w:p>
    <w:p w14:paraId="107A8A46">
      <w:pPr>
        <w:pStyle w:val="4"/>
      </w:pPr>
      <w:r>
        <w:t>事项3 记忆含义与中间等级</w:t>
      </w:r>
    </w:p>
    <w:p w14:paraId="1BE1580D">
      <w:r>
        <w:rPr>
          <w:b w:val="0"/>
        </w:rPr>
        <w:t>需要先区分“程序等级”和“记忆残留程度”。按当前档案文案，等级1仍深受过去影响，等级5较少受到过往牵动，不能直接把等级越高理解为记忆残留越高。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134"/>
        <w:gridCol w:w="3515"/>
        <w:gridCol w:w="2268"/>
        <w:gridCol w:w="2608"/>
      </w:tblGrid>
      <w:tr w14:paraId="57CCA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7EDF3"/>
            <w:vAlign w:val="center"/>
          </w:tcPr>
          <w:p w14:paraId="4119FEBA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程序等级</w:t>
            </w:r>
          </w:p>
        </w:tc>
        <w:tc>
          <w:tcPr>
            <w:tcW w:w="3515" w:type="dxa"/>
            <w:shd w:val="clear" w:color="auto" w:fill="E7EDF3"/>
            <w:vAlign w:val="center"/>
          </w:tcPr>
          <w:p w14:paraId="7A1D6326">
            <w:pPr>
              <w:spacing w:after="0" w:line="269" w:lineRule="auto"/>
            </w:pPr>
            <w:r>
              <w:rPr>
                <w:b/>
                <w:sz w:val="19"/>
              </w:rPr>
              <w:t>玩家理解的含义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61FF79B0">
            <w:pPr>
              <w:spacing w:after="0" w:line="269" w:lineRule="auto"/>
            </w:pPr>
            <w:r>
              <w:rPr>
                <w:b/>
                <w:sz w:val="19"/>
              </w:rPr>
              <w:t>建议去向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4ABCA2CF">
            <w:pPr>
              <w:spacing w:after="0" w:line="269" w:lineRule="auto"/>
            </w:pPr>
            <w:r>
              <w:rPr>
                <w:b/>
                <w:sz w:val="19"/>
              </w:rPr>
              <w:t>建议残留分值</w:t>
            </w:r>
          </w:p>
        </w:tc>
      </w:tr>
      <w:tr w14:paraId="246315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354D620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07A6C7E">
            <w:pPr>
              <w:spacing w:after="0" w:line="269" w:lineRule="auto"/>
            </w:pPr>
            <w:r>
              <w:rPr>
                <w:b w:val="0"/>
                <w:sz w:val="19"/>
              </w:rPr>
              <w:t>深受过往影响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386B2D4">
            <w:pPr>
              <w:spacing w:after="0" w:line="269" w:lineRule="auto"/>
            </w:pPr>
            <w:r>
              <w:rPr>
                <w:b w:val="0"/>
                <w:sz w:val="19"/>
              </w:rPr>
              <w:t>废墟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8989E52">
            <w:pPr>
              <w:spacing w:after="0" w:line="269" w:lineRule="auto"/>
            </w:pPr>
            <w:r>
              <w:rPr>
                <w:b w:val="0"/>
                <w:sz w:val="19"/>
              </w:rPr>
              <w:t>5</w:t>
            </w:r>
          </w:p>
        </w:tc>
      </w:tr>
      <w:tr w14:paraId="6B5B6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3E35DB4F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w="3515" w:type="dxa"/>
            <w:shd w:val="clear" w:color="auto" w:fill="F7F8FA"/>
            <w:vAlign w:val="center"/>
          </w:tcPr>
          <w:p w14:paraId="44B3BDED">
            <w:pPr>
              <w:spacing w:after="0" w:line="269" w:lineRule="auto"/>
            </w:pPr>
            <w:r>
              <w:rPr>
                <w:b w:val="0"/>
                <w:sz w:val="19"/>
              </w:rPr>
              <w:t>仍受过去影响</w:t>
            </w:r>
          </w:p>
        </w:tc>
        <w:tc>
          <w:tcPr>
            <w:tcW w:w="2268" w:type="dxa"/>
            <w:shd w:val="clear" w:color="auto" w:fill="F7F8FA"/>
            <w:vAlign w:val="center"/>
          </w:tcPr>
          <w:p w14:paraId="4C61FAD0">
            <w:pPr>
              <w:spacing w:after="0" w:line="269" w:lineRule="auto"/>
            </w:pPr>
            <w:r>
              <w:rPr>
                <w:b w:val="0"/>
                <w:sz w:val="19"/>
              </w:rPr>
              <w:t>废墟</w:t>
            </w:r>
          </w:p>
        </w:tc>
        <w:tc>
          <w:tcPr>
            <w:tcW w:w="2608" w:type="dxa"/>
            <w:shd w:val="clear" w:color="auto" w:fill="F7F8FA"/>
            <w:vAlign w:val="center"/>
          </w:tcPr>
          <w:p w14:paraId="493DA95D">
            <w:pPr>
              <w:spacing w:after="0" w:line="269" w:lineRule="auto"/>
            </w:pPr>
            <w:r>
              <w:rPr>
                <w:b w:val="0"/>
                <w:sz w:val="19"/>
              </w:rPr>
              <w:t>4</w:t>
            </w:r>
          </w:p>
        </w:tc>
      </w:tr>
      <w:tr w14:paraId="65D024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40CD5FE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169C3B">
            <w:pPr>
              <w:spacing w:after="0" w:line="269" w:lineRule="auto"/>
            </w:pPr>
            <w:r>
              <w:rPr>
                <w:b w:val="0"/>
                <w:sz w:val="19"/>
              </w:rPr>
              <w:t>过往影响不明显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8FCBD63">
            <w:pPr>
              <w:spacing w:after="0" w:line="269" w:lineRule="auto"/>
            </w:pPr>
            <w:r>
              <w:rPr>
                <w:b w:val="0"/>
                <w:sz w:val="19"/>
              </w:rPr>
              <w:t>拒签入所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6521C16">
            <w:pPr>
              <w:spacing w:after="0" w:line="269" w:lineRule="auto"/>
            </w:pPr>
            <w:r>
              <w:rPr>
                <w:b w:val="0"/>
                <w:sz w:val="19"/>
              </w:rPr>
              <w:t>3</w:t>
            </w:r>
          </w:p>
        </w:tc>
      </w:tr>
      <w:tr w14:paraId="216465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426FF600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3515" w:type="dxa"/>
            <w:shd w:val="clear" w:color="auto" w:fill="F7F8FA"/>
            <w:vAlign w:val="center"/>
          </w:tcPr>
          <w:p w14:paraId="156EBB8F">
            <w:pPr>
              <w:spacing w:after="0" w:line="269" w:lineRule="auto"/>
            </w:pPr>
            <w:r>
              <w:rPr>
                <w:b w:val="0"/>
                <w:sz w:val="19"/>
              </w:rPr>
              <w:t>正在放下过去</w:t>
            </w:r>
          </w:p>
        </w:tc>
        <w:tc>
          <w:tcPr>
            <w:tcW w:w="2268" w:type="dxa"/>
            <w:shd w:val="clear" w:color="auto" w:fill="F7F8FA"/>
            <w:vAlign w:val="center"/>
          </w:tcPr>
          <w:p w14:paraId="1F080C19">
            <w:pPr>
              <w:spacing w:after="0" w:line="269" w:lineRule="auto"/>
            </w:pPr>
            <w:r>
              <w:rPr>
                <w:b w:val="0"/>
                <w:sz w:val="19"/>
              </w:rPr>
              <w:t>灵虚</w:t>
            </w:r>
          </w:p>
        </w:tc>
        <w:tc>
          <w:tcPr>
            <w:tcW w:w="2608" w:type="dxa"/>
            <w:shd w:val="clear" w:color="auto" w:fill="F7F8FA"/>
            <w:vAlign w:val="center"/>
          </w:tcPr>
          <w:p w14:paraId="222AFBEF">
            <w:pPr>
              <w:spacing w:after="0" w:line="269" w:lineRule="auto"/>
            </w:pPr>
            <w:r>
              <w:rPr>
                <w:b w:val="0"/>
                <w:sz w:val="19"/>
              </w:rPr>
              <w:t>2</w:t>
            </w:r>
          </w:p>
        </w:tc>
      </w:tr>
      <w:tr w14:paraId="740595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1E09A8B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2268D36">
            <w:pPr>
              <w:spacing w:after="0" w:line="269" w:lineRule="auto"/>
            </w:pPr>
            <w:r>
              <w:rPr>
                <w:b w:val="0"/>
                <w:sz w:val="19"/>
              </w:rPr>
              <w:t>较少受过往牵动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3753A6">
            <w:pPr>
              <w:spacing w:after="0" w:line="269" w:lineRule="auto"/>
            </w:pPr>
            <w:r>
              <w:rPr>
                <w:b w:val="0"/>
                <w:sz w:val="19"/>
              </w:rPr>
              <w:t>灵虚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1E49CDF">
            <w:pPr>
              <w:spacing w:after="0" w:line="269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 w14:paraId="33F62AAD">
      <w:pPr>
        <w:spacing w:before="0" w:after="40" w:line="20" w:lineRule="exact"/>
      </w:pPr>
    </w:p>
    <w:p w14:paraId="71307586">
      <w:r>
        <w:rPr>
          <w:b w:val="0"/>
        </w:rPr>
        <w:t>建议采用残留分值1和5作为两端锚点，按距离较近的一端处理；正好等距时拒签。这样每一级都有明确结果。中间等级拒签只是建议，须由策划确认是否符合世界观。</w:t>
      </w:r>
    </w:p>
    <w:p w14:paraId="37CE72C0">
      <w:r>
        <w:rPr>
          <w:b w:val="0"/>
        </w:rPr>
        <w:t>若不采用等距拒签，请明确改为偏向废墟还是灵虚，并同步修改玩家公告。不能留下“视情况判断”等无法执行的描述。</w:t>
      </w:r>
    </w:p>
    <w:p w14:paraId="2862B3F5">
      <w:r>
        <w:rPr>
          <w:b/>
        </w:rPr>
        <w:t>请策划确认  高低残留对应去向、各等级语义分值、中点处理：________________</w:t>
      </w:r>
    </w:p>
    <w:p w14:paraId="46C13776">
      <w:pPr>
        <w:pStyle w:val="4"/>
      </w:pPr>
      <w:r>
        <w:t>事项4 关系 欲望 意志是否参与准入</w:t>
      </w:r>
    </w:p>
    <w:p w14:paraId="4A3C8EE6">
      <w:r>
        <w:rPr>
          <w:b w:val="0"/>
        </w:rPr>
        <w:t>建议第一版只启用记忆准入规则。关系、欲望、意志继续用于档案和动机生成；它们是否参与世界后果，由事项7单独确定。本版暂不据此判定审批对错。</w:t>
      </w:r>
    </w:p>
    <w:p w14:paraId="20F2A569">
      <w:r>
        <w:rPr>
          <w:b w:val="0"/>
        </w:rPr>
        <w:t>以后每新增一类准入规则，都应同时给出属性维度、阈值、对应去向、中间情况、未匹配情况，以及多规则结论冲突时的处理。</w:t>
      </w:r>
    </w:p>
    <w:p w14:paraId="1E7CCCFD">
      <w:r>
        <w:rPr>
          <w:b w:val="0"/>
        </w:rPr>
        <w:t>例如“欲望高不能进”不够明确，必须补充不能进入哪个世界、是否允许另一去向，以及是否必须拒签。</w:t>
      </w:r>
    </w:p>
    <w:p w14:paraId="28FFCCC9">
      <w:r>
        <w:rPr>
          <w:b/>
        </w:rPr>
        <w:t>请策划确认  首版只启用记忆规则  采用建议 / 修改后采用：________________</w:t>
      </w:r>
    </w:p>
    <w:p w14:paraId="0B6D0778">
      <w:pPr>
        <w:pStyle w:val="4"/>
      </w:pPr>
      <w:r>
        <w:t>建议验收样例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3402"/>
        <w:gridCol w:w="6123"/>
      </w:tblGrid>
      <w:tr w14:paraId="038131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E7EDF3"/>
            <w:vAlign w:val="center"/>
          </w:tcPr>
          <w:p w14:paraId="7C62533D">
            <w:pPr>
              <w:spacing w:after="0" w:line="269" w:lineRule="auto"/>
            </w:pPr>
            <w:r>
              <w:rPr>
                <w:b/>
                <w:sz w:val="19"/>
              </w:rPr>
              <w:t>样例</w:t>
            </w:r>
          </w:p>
        </w:tc>
        <w:tc>
          <w:tcPr>
            <w:tcW w:w="6123" w:type="dxa"/>
            <w:shd w:val="clear" w:color="auto" w:fill="E7EDF3"/>
            <w:vAlign w:val="center"/>
          </w:tcPr>
          <w:p w14:paraId="3B91A79A">
            <w:pPr>
              <w:spacing w:after="0" w:line="269" w:lineRule="auto"/>
            </w:pPr>
            <w:r>
              <w:rPr>
                <w:b/>
                <w:sz w:val="19"/>
              </w:rPr>
              <w:t>预期结果  待策划确认</w:t>
            </w:r>
          </w:p>
        </w:tc>
      </w:tr>
      <w:tr w14:paraId="781B1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79C57507">
            <w:pPr>
              <w:spacing w:after="0" w:line="269" w:lineRule="auto"/>
            </w:pPr>
            <w:r>
              <w:rPr>
                <w:b w:val="0"/>
                <w:sz w:val="19"/>
              </w:rPr>
              <w:t>等级1 申报灵虚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2A89D0DF">
            <w:pPr>
              <w:spacing w:after="0" w:line="269" w:lineRule="auto"/>
            </w:pPr>
            <w:r>
              <w:rPr>
                <w:b w:val="0"/>
                <w:sz w:val="19"/>
              </w:rPr>
              <w:t>应去废墟；申报不决定正确去向</w:t>
            </w:r>
          </w:p>
        </w:tc>
      </w:tr>
      <w:tr w14:paraId="1E7DB8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8FA"/>
            <w:vAlign w:val="center"/>
          </w:tcPr>
          <w:p w14:paraId="2443CA20">
            <w:pPr>
              <w:spacing w:after="0" w:line="269" w:lineRule="auto"/>
            </w:pPr>
            <w:r>
              <w:rPr>
                <w:b w:val="0"/>
                <w:sz w:val="19"/>
              </w:rPr>
              <w:t>等级3 来自废墟</w:t>
            </w:r>
          </w:p>
        </w:tc>
        <w:tc>
          <w:tcPr>
            <w:tcW w:w="6123" w:type="dxa"/>
            <w:shd w:val="clear" w:color="auto" w:fill="F7F8FA"/>
            <w:vAlign w:val="center"/>
          </w:tcPr>
          <w:p w14:paraId="65749B39">
            <w:pPr>
              <w:spacing w:after="0" w:line="269" w:lineRule="auto"/>
            </w:pPr>
            <w:r>
              <w:rPr>
                <w:b w:val="0"/>
                <w:sz w:val="19"/>
              </w:rPr>
              <w:t>按中点策略处理；来源不代替规则结果</w:t>
            </w:r>
          </w:p>
        </w:tc>
      </w:tr>
      <w:tr w14:paraId="0FA869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5CFB515">
            <w:pPr>
              <w:spacing w:after="0" w:line="269" w:lineRule="auto"/>
            </w:pPr>
            <w:r>
              <w:rPr>
                <w:b w:val="0"/>
                <w:sz w:val="19"/>
              </w:rPr>
              <w:t>等级5 申报废墟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0B725EFA">
            <w:pPr>
              <w:spacing w:after="0" w:line="269" w:lineRule="auto"/>
            </w:pPr>
            <w:r>
              <w:rPr>
                <w:b w:val="0"/>
                <w:sz w:val="19"/>
              </w:rPr>
              <w:t>应去灵虚；实际选择与规则目标分别记录</w:t>
            </w:r>
          </w:p>
        </w:tc>
      </w:tr>
    </w:tbl>
    <w:p w14:paraId="60194CB1">
      <w:pPr>
        <w:spacing w:before="0" w:after="40" w:line="20" w:lineRule="exact"/>
      </w:pPr>
    </w:p>
    <w:p w14:paraId="725D167D">
      <w:pPr>
        <w:pStyle w:val="3"/>
        <w:pageBreakBefore/>
      </w:pPr>
      <w:r>
        <w:t>事项5与事项6 文书和伪装</w:t>
      </w:r>
    </w:p>
    <w:p w14:paraId="239E3831">
      <w:pPr>
        <w:pStyle w:val="4"/>
      </w:pPr>
      <w:r>
        <w:t>事项5 补齐文书覆盖</w:t>
      </w:r>
    </w:p>
    <w:p w14:paraId="6CED8902">
      <w:r>
        <w:rPr>
          <w:b w:val="0"/>
        </w:rPr>
        <w:t>原表11条文书只覆盖部分特殊组合。随机生成NPC后，可能找不到适用的入境理由。需要补齐正式通用文案，程序才可稳定生成所有组合。</w:t>
      </w:r>
    </w:p>
    <w:p w14:paraId="61AAD0D9">
      <w:r>
        <w:rPr>
          <w:b w:val="0"/>
        </w:rPr>
        <w:t>建议保留现有特殊模板，另补6条通用入境理由。特殊动机模板优先匹配，没有适用的特殊模板时使用明确配置的通用模板。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701"/>
        <w:gridCol w:w="3912"/>
        <w:gridCol w:w="3912"/>
      </w:tblGrid>
      <w:tr w14:paraId="469D84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DF3"/>
            <w:vAlign w:val="center"/>
          </w:tcPr>
          <w:p w14:paraId="2C600D61">
            <w:pPr>
              <w:spacing w:after="0" w:line="269" w:lineRule="auto"/>
            </w:pPr>
            <w:r>
              <w:rPr>
                <w:b/>
                <w:sz w:val="19"/>
              </w:rPr>
              <w:t>申报类型</w:t>
            </w:r>
          </w:p>
        </w:tc>
        <w:tc>
          <w:tcPr>
            <w:tcW w:w="3912" w:type="dxa"/>
            <w:shd w:val="clear" w:color="auto" w:fill="E7EDF3"/>
            <w:vAlign w:val="center"/>
          </w:tcPr>
          <w:p w14:paraId="44B6225B">
            <w:pPr>
              <w:spacing w:after="0" w:line="269" w:lineRule="auto"/>
            </w:pPr>
            <w:r>
              <w:rPr>
                <w:b/>
                <w:sz w:val="19"/>
              </w:rPr>
              <w:t>灵虚</w:t>
            </w:r>
          </w:p>
        </w:tc>
        <w:tc>
          <w:tcPr>
            <w:tcW w:w="3912" w:type="dxa"/>
            <w:shd w:val="clear" w:color="auto" w:fill="E7EDF3"/>
            <w:vAlign w:val="center"/>
          </w:tcPr>
          <w:p w14:paraId="6C9A1323">
            <w:pPr>
              <w:spacing w:after="0" w:line="269" w:lineRule="auto"/>
            </w:pPr>
            <w:r>
              <w:rPr>
                <w:b/>
                <w:sz w:val="19"/>
              </w:rPr>
              <w:t>废墟</w:t>
            </w:r>
          </w:p>
        </w:tc>
      </w:tr>
      <w:tr w14:paraId="1F947A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056674B">
            <w:pPr>
              <w:spacing w:after="0" w:line="269" w:lineRule="auto"/>
            </w:pPr>
            <w:r>
              <w:rPr>
                <w:b w:val="0"/>
                <w:sz w:val="19"/>
              </w:rPr>
              <w:t>诚实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6B573D35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31E906A0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</w:tr>
      <w:tr w14:paraId="32BD3F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413201CB">
            <w:pPr>
              <w:spacing w:after="0" w:line="269" w:lineRule="auto"/>
            </w:pPr>
            <w:r>
              <w:rPr>
                <w:b w:val="0"/>
                <w:sz w:val="19"/>
              </w:rPr>
              <w:t>粉饰</w:t>
            </w:r>
          </w:p>
        </w:tc>
        <w:tc>
          <w:tcPr>
            <w:tcW w:w="3912" w:type="dxa"/>
            <w:shd w:val="clear" w:color="auto" w:fill="F7F8FA"/>
            <w:vAlign w:val="center"/>
          </w:tcPr>
          <w:p w14:paraId="62A5BAAC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  <w:tc>
          <w:tcPr>
            <w:tcW w:w="3912" w:type="dxa"/>
            <w:shd w:val="clear" w:color="auto" w:fill="F7F8FA"/>
            <w:vAlign w:val="center"/>
          </w:tcPr>
          <w:p w14:paraId="18299461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</w:tr>
      <w:tr w14:paraId="495B7B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35B6778">
            <w:pPr>
              <w:spacing w:after="0" w:line="269" w:lineRule="auto"/>
            </w:pPr>
            <w:r>
              <w:rPr>
                <w:b w:val="0"/>
                <w:sz w:val="19"/>
              </w:rPr>
              <w:t>欺骗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7A47610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2575C87A">
            <w:pPr>
              <w:spacing w:after="0" w:line="269" w:lineRule="auto"/>
            </w:pPr>
            <w:r>
              <w:rPr>
                <w:b w:val="0"/>
                <w:sz w:val="19"/>
              </w:rPr>
              <w:t>补1条通用入境理由</w:t>
            </w:r>
          </w:p>
        </w:tc>
      </w:tr>
    </w:tbl>
    <w:p w14:paraId="41BA1843">
      <w:pPr>
        <w:spacing w:before="0" w:after="40" w:line="20" w:lineRule="exact"/>
      </w:pPr>
    </w:p>
    <w:p w14:paraId="4BA4B08A">
      <w:r>
        <w:rPr>
          <w:b w:val="0"/>
        </w:rPr>
        <w:t>请提交最终正文及适用条件。诚实内容可如实描述，粉饰应淡化不利信息，欺骗应构造与真实情况不一致的申报。文案不应无意泄露后台真实答案。演示局补充模板不能直接视为正式文案。</w:t>
      </w:r>
    </w:p>
    <w:p w14:paraId="04E3CA9A">
      <w:r>
        <w:rPr>
          <w:b/>
        </w:rPr>
        <w:t>请策划确认  6条正式模板的负责人、交付版本及完成时间：________________</w:t>
      </w:r>
    </w:p>
    <w:p w14:paraId="053498B5">
      <w:pPr>
        <w:pStyle w:val="4"/>
      </w:pPr>
      <w:r>
        <w:t>事项6 F003 如何确定申报类型</w:t>
      </w:r>
    </w:p>
    <w:p w14:paraId="7CEA2962">
      <w:r>
        <w:rPr>
          <w:b w:val="0"/>
        </w:rPr>
        <w:t>F003只负责生成诚实、粉饰或欺骗的申报内容，不直接判断玩家审批是否正确。建议首版暂不加入未定义的性格修正，保留三档划分，但先核验偏差算法。</w:t>
      </w:r>
    </w:p>
    <w:p w14:paraId="32C2EE27">
      <w:r>
        <w:rPr>
          <w:b w:val="0"/>
        </w:rPr>
        <w:t>当前算法为：申报Utopia时，偏差=max(0,−记忆)+max(0,−关系)+max(0,欲望)+max(0,意志)；申报AntiUtopia时，将关系项改为max(0,关系)。该算法带有旧版世界偏好假设，不能只确认阈值。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701"/>
        <w:gridCol w:w="1701"/>
        <w:gridCol w:w="6123"/>
      </w:tblGrid>
      <w:tr w14:paraId="462F6F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DF3"/>
            <w:vAlign w:val="center"/>
          </w:tcPr>
          <w:p w14:paraId="4C5C3691">
            <w:pPr>
              <w:spacing w:after="0" w:line="269" w:lineRule="auto"/>
            </w:pPr>
            <w:r>
              <w:rPr>
                <w:b/>
                <w:sz w:val="19"/>
              </w:rPr>
              <w:t>偏差范围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56FC553">
            <w:pPr>
              <w:spacing w:after="0" w:line="269" w:lineRule="auto"/>
            </w:pPr>
            <w:r>
              <w:rPr>
                <w:b/>
                <w:sz w:val="19"/>
              </w:rPr>
              <w:t>当前类型</w:t>
            </w:r>
          </w:p>
        </w:tc>
        <w:tc>
          <w:tcPr>
            <w:tcW w:w="6123" w:type="dxa"/>
            <w:shd w:val="clear" w:color="auto" w:fill="E7EDF3"/>
            <w:vAlign w:val="center"/>
          </w:tcPr>
          <w:p w14:paraId="08C27ED4">
            <w:pPr>
              <w:spacing w:after="0" w:line="269" w:lineRule="auto"/>
            </w:pPr>
            <w:r>
              <w:rPr>
                <w:b/>
                <w:sz w:val="19"/>
              </w:rPr>
              <w:t>策划核验重点</w:t>
            </w:r>
          </w:p>
        </w:tc>
      </w:tr>
      <w:tr w14:paraId="0C126B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9C79D53">
            <w:pPr>
              <w:spacing w:after="0" w:line="269" w:lineRule="auto"/>
            </w:pPr>
            <w:r>
              <w:rPr>
                <w:b w:val="0"/>
                <w:sz w:val="19"/>
              </w:rPr>
              <w:t>0至3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A2DCBB">
            <w:pPr>
              <w:spacing w:after="0" w:line="269" w:lineRule="auto"/>
            </w:pPr>
            <w:r>
              <w:rPr>
                <w:b w:val="0"/>
                <w:sz w:val="19"/>
              </w:rPr>
              <w:t>诚实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0838CC6C">
            <w:pPr>
              <w:spacing w:after="0" w:line="269" w:lineRule="auto"/>
            </w:pPr>
            <w:r>
              <w:rPr>
                <w:b w:val="0"/>
                <w:sz w:val="19"/>
              </w:rPr>
              <w:t>这些属性组合是否确实无须隐瞒</w:t>
            </w:r>
          </w:p>
        </w:tc>
      </w:tr>
      <w:tr w14:paraId="6D4E75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49131339">
            <w:pPr>
              <w:spacing w:after="0" w:line="269" w:lineRule="auto"/>
            </w:pPr>
            <w:r>
              <w:rPr>
                <w:b w:val="0"/>
                <w:sz w:val="19"/>
              </w:rPr>
              <w:t>4至8</w:t>
            </w:r>
          </w:p>
        </w:tc>
        <w:tc>
          <w:tcPr>
            <w:tcW w:w="1701" w:type="dxa"/>
            <w:shd w:val="clear" w:color="auto" w:fill="F7F8FA"/>
            <w:vAlign w:val="center"/>
          </w:tcPr>
          <w:p w14:paraId="6773F9F7">
            <w:pPr>
              <w:spacing w:after="0" w:line="269" w:lineRule="auto"/>
            </w:pPr>
            <w:r>
              <w:rPr>
                <w:b w:val="0"/>
                <w:sz w:val="19"/>
              </w:rPr>
              <w:t>粉饰</w:t>
            </w:r>
          </w:p>
        </w:tc>
        <w:tc>
          <w:tcPr>
            <w:tcW w:w="6123" w:type="dxa"/>
            <w:shd w:val="clear" w:color="auto" w:fill="F7F8FA"/>
            <w:vAlign w:val="center"/>
          </w:tcPr>
          <w:p w14:paraId="7F037F5C">
            <w:pPr>
              <w:spacing w:after="0" w:line="269" w:lineRule="auto"/>
            </w:pPr>
            <w:r>
              <w:rPr>
                <w:b w:val="0"/>
                <w:sz w:val="19"/>
              </w:rPr>
              <w:t>是否具有淡化不利信息的理由</w:t>
            </w:r>
          </w:p>
        </w:tc>
      </w:tr>
      <w:tr w14:paraId="268CBE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16A7EA8">
            <w:pPr>
              <w:spacing w:after="0" w:line="269" w:lineRule="auto"/>
            </w:pPr>
            <w:r>
              <w:rPr>
                <w:b w:val="0"/>
                <w:sz w:val="19"/>
              </w:rPr>
              <w:t>9及以上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BAD618">
            <w:pPr>
              <w:spacing w:after="0" w:line="269" w:lineRule="auto"/>
            </w:pPr>
            <w:r>
              <w:rPr>
                <w:b w:val="0"/>
                <w:sz w:val="19"/>
              </w:rPr>
              <w:t>欺骗</w:t>
            </w:r>
          </w:p>
        </w:tc>
        <w:tc>
          <w:tcPr>
            <w:tcW w:w="6123" w:type="dxa"/>
            <w:shd w:val="clear" w:color="auto" w:fill="FFFFFF"/>
            <w:vAlign w:val="center"/>
          </w:tcPr>
          <w:p w14:paraId="47CEC6B7">
            <w:pPr>
              <w:spacing w:after="0" w:line="269" w:lineRule="auto"/>
            </w:pPr>
            <w:r>
              <w:rPr>
                <w:b w:val="0"/>
                <w:sz w:val="19"/>
              </w:rPr>
              <w:t>是否具有实质隐瞒或伪造的理由</w:t>
            </w:r>
          </w:p>
        </w:tc>
      </w:tr>
    </w:tbl>
    <w:p w14:paraId="68A7CA3A">
      <w:pPr>
        <w:spacing w:before="0" w:after="40" w:line="20" w:lineRule="exact"/>
      </w:pPr>
    </w:p>
    <w:p w14:paraId="43EADF21">
      <w:r>
        <w:rPr>
          <w:b w:val="0"/>
        </w:rPr>
        <w:t>请提供至少3组指定属性、申报目的地和预期申报类型的样例。若算法与样例不一致，应调整公式或设计，不能仅勾选确认标记。</w:t>
      </w:r>
    </w:p>
    <w:p w14:paraId="73ADC95A">
      <w:r>
        <w:rPr>
          <w:b/>
        </w:rPr>
        <w:t>请策划确认  沿用当前算法 / 修改算法；性格修正是否停用：________________</w:t>
      </w:r>
    </w:p>
    <w:p w14:paraId="1A7AF131">
      <w:pPr>
        <w:pStyle w:val="3"/>
        <w:pageBreakBefore/>
      </w:pPr>
      <w:r>
        <w:t>事项7 本版启用的公式</w:t>
      </w:r>
    </w:p>
    <w:p w14:paraId="324F7157">
      <w:r>
        <w:rPr>
          <w:b w:val="0"/>
        </w:rPr>
        <w:t>请逐项确认，避免将恢复、信任、失败条件和暂停机制混为一组。下表均为首版建议；正式默认资产目前保留关闭或待确认状态。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134"/>
        <w:gridCol w:w="3005"/>
        <w:gridCol w:w="5386"/>
      </w:tblGrid>
      <w:tr w14:paraId="31256A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7EDF3"/>
            <w:vAlign w:val="center"/>
          </w:tcPr>
          <w:p w14:paraId="3A18B00E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3005" w:type="dxa"/>
            <w:shd w:val="clear" w:color="auto" w:fill="E7EDF3"/>
            <w:vAlign w:val="center"/>
          </w:tcPr>
          <w:p w14:paraId="6D2EBB4D">
            <w:pPr>
              <w:spacing w:after="0" w:line="269" w:lineRule="auto"/>
            </w:pPr>
            <w:r>
              <w:rPr>
                <w:b/>
                <w:sz w:val="19"/>
              </w:rPr>
              <w:t>作用</w:t>
            </w:r>
          </w:p>
        </w:tc>
        <w:tc>
          <w:tcPr>
            <w:tcW w:w="5386" w:type="dxa"/>
            <w:shd w:val="clear" w:color="auto" w:fill="E7EDF3"/>
            <w:vAlign w:val="center"/>
          </w:tcPr>
          <w:p w14:paraId="74FDD8DC">
            <w:pPr>
              <w:spacing w:after="0" w:line="269" w:lineRule="auto"/>
            </w:pPr>
            <w:r>
              <w:rPr>
                <w:b/>
                <w:sz w:val="19"/>
              </w:rPr>
              <w:t>首版建议</w:t>
            </w:r>
          </w:p>
        </w:tc>
      </w:tr>
      <w:tr w14:paraId="56B527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C004B57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F001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2E095DF">
            <w:pPr>
              <w:spacing w:after="0" w:line="269" w:lineRule="auto"/>
            </w:pPr>
            <w:r>
              <w:rPr>
                <w:b w:val="0"/>
                <w:sz w:val="19"/>
              </w:rPr>
              <w:t>NPC属性生成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91F9965">
            <w:pPr>
              <w:spacing w:after="0" w:line="269" w:lineRule="auto"/>
            </w:pPr>
            <w:r>
              <w:rPr>
                <w:b w:val="0"/>
                <w:sz w:val="19"/>
              </w:rPr>
              <w:t>开启</w:t>
            </w:r>
          </w:p>
        </w:tc>
      </w:tr>
      <w:tr w14:paraId="0E7BBA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1FF1FA1B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F002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7BBB2AAA">
            <w:pPr>
              <w:spacing w:after="0" w:line="269" w:lineRule="auto"/>
            </w:pPr>
            <w:r>
              <w:rPr>
                <w:b w:val="0"/>
                <w:sz w:val="19"/>
              </w:rPr>
              <w:t>档案与明细查表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1E6B0610">
            <w:pPr>
              <w:spacing w:after="0" w:line="269" w:lineRule="auto"/>
            </w:pPr>
            <w:r>
              <w:rPr>
                <w:b w:val="0"/>
                <w:sz w:val="19"/>
              </w:rPr>
              <w:t>开启</w:t>
            </w:r>
          </w:p>
        </w:tc>
      </w:tr>
      <w:tr w14:paraId="54A31E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B751EE0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F003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A57B1AC">
            <w:pPr>
              <w:spacing w:after="0" w:line="269" w:lineRule="auto"/>
            </w:pPr>
            <w:r>
              <w:rPr>
                <w:b w:val="0"/>
                <w:sz w:val="19"/>
              </w:rPr>
              <w:t>伪装类型生成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1561AF05">
            <w:pPr>
              <w:spacing w:after="0" w:line="269" w:lineRule="auto"/>
            </w:pPr>
            <w:r>
              <w:rPr>
                <w:b w:val="0"/>
                <w:sz w:val="19"/>
              </w:rPr>
              <w:t>算法确认后开启</w:t>
            </w:r>
          </w:p>
        </w:tc>
      </w:tr>
      <w:tr w14:paraId="5D8A96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69FF7803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F004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4228A154">
            <w:pPr>
              <w:spacing w:after="0" w:line="269" w:lineRule="auto"/>
            </w:pPr>
            <w:r>
              <w:rPr>
                <w:b w:val="0"/>
                <w:sz w:val="19"/>
              </w:rPr>
              <w:t>Utopia世界影响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16DE330C">
            <w:pPr>
              <w:spacing w:after="0" w:line="269" w:lineRule="auto"/>
            </w:pPr>
            <w:r>
              <w:rPr>
                <w:b w:val="0"/>
                <w:sz w:val="19"/>
              </w:rPr>
              <w:t>核验世界主题后决定</w:t>
            </w:r>
          </w:p>
        </w:tc>
      </w:tr>
      <w:tr w14:paraId="02C305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4C01A86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F005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71BF19E">
            <w:pPr>
              <w:spacing w:after="0" w:line="269" w:lineRule="auto"/>
            </w:pPr>
            <w:r>
              <w:rPr>
                <w:b w:val="0"/>
                <w:sz w:val="19"/>
              </w:rPr>
              <w:t>AntiUtopia世界影响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9276A27">
            <w:pPr>
              <w:spacing w:after="0" w:line="269" w:lineRule="auto"/>
            </w:pPr>
            <w:r>
              <w:rPr>
                <w:b w:val="0"/>
                <w:sz w:val="19"/>
              </w:rPr>
              <w:t>核验世界主题后决定</w:t>
            </w:r>
          </w:p>
        </w:tc>
      </w:tr>
      <w:tr w14:paraId="08369B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3B056E69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F006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10647CD0">
            <w:pPr>
              <w:spacing w:after="0" w:line="269" w:lineRule="auto"/>
            </w:pPr>
            <w:r>
              <w:rPr>
                <w:b w:val="0"/>
                <w:sz w:val="19"/>
              </w:rPr>
              <w:t>世界自然恢复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4E48A10C">
            <w:pPr>
              <w:spacing w:after="0" w:line="269" w:lineRule="auto"/>
            </w:pPr>
            <w:r>
              <w:rPr>
                <w:b w:val="0"/>
                <w:sz w:val="19"/>
              </w:rPr>
              <w:t>初测关闭 减少干扰</w:t>
            </w:r>
          </w:p>
        </w:tc>
      </w:tr>
      <w:tr w14:paraId="3E696F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1FC3B90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F007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37297C0">
            <w:pPr>
              <w:spacing w:after="0" w:line="269" w:lineRule="auto"/>
            </w:pPr>
            <w:r>
              <w:rPr>
                <w:b w:val="0"/>
                <w:sz w:val="19"/>
              </w:rPr>
              <w:t>收容腐化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9EFA4DA">
            <w:pPr>
              <w:spacing w:after="0" w:line="269" w:lineRule="auto"/>
            </w:pPr>
            <w:r>
              <w:rPr>
                <w:b w:val="0"/>
                <w:sz w:val="19"/>
              </w:rPr>
              <w:t>关闭</w:t>
            </w:r>
          </w:p>
        </w:tc>
      </w:tr>
      <w:tr w14:paraId="22FD1B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239E1EA5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F008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4D437D93">
            <w:pPr>
              <w:spacing w:after="0" w:line="269" w:lineRule="auto"/>
            </w:pPr>
            <w:r>
              <w:rPr>
                <w:b w:val="0"/>
                <w:sz w:val="19"/>
              </w:rPr>
              <w:t>变异判定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7507C0D5">
            <w:pPr>
              <w:spacing w:after="0" w:line="269" w:lineRule="auto"/>
            </w:pPr>
            <w:r>
              <w:rPr>
                <w:b w:val="0"/>
                <w:sz w:val="19"/>
              </w:rPr>
              <w:t>关闭</w:t>
            </w:r>
          </w:p>
        </w:tc>
      </w:tr>
      <w:tr w14:paraId="5BB642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506EB09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F009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061EA97C">
            <w:pPr>
              <w:spacing w:after="0" w:line="269" w:lineRule="auto"/>
            </w:pPr>
            <w:r>
              <w:rPr>
                <w:b w:val="0"/>
                <w:sz w:val="19"/>
              </w:rPr>
              <w:t>镇静剂效果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5507347">
            <w:pPr>
              <w:spacing w:after="0" w:line="269" w:lineRule="auto"/>
            </w:pPr>
            <w:r>
              <w:rPr>
                <w:b w:val="0"/>
                <w:sz w:val="19"/>
              </w:rPr>
              <w:t>关闭 效果未接入</w:t>
            </w:r>
          </w:p>
        </w:tc>
      </w:tr>
      <w:tr w14:paraId="1AAED6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53C667E6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F010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4FC445B6">
            <w:pPr>
              <w:spacing w:after="0" w:line="269" w:lineRule="auto"/>
            </w:pPr>
            <w:r>
              <w:rPr>
                <w:b w:val="0"/>
                <w:sz w:val="19"/>
              </w:rPr>
              <w:t>净化符效果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2F3354A8">
            <w:pPr>
              <w:spacing w:after="0" w:line="269" w:lineRule="auto"/>
            </w:pPr>
            <w:r>
              <w:rPr>
                <w:b w:val="0"/>
                <w:sz w:val="19"/>
              </w:rPr>
              <w:t>关闭 效果未接入</w:t>
            </w:r>
          </w:p>
        </w:tc>
      </w:tr>
      <w:tr w14:paraId="5E727F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0C77EC2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F011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745688F">
            <w:pPr>
              <w:spacing w:after="0" w:line="269" w:lineRule="auto"/>
            </w:pPr>
            <w:r>
              <w:rPr>
                <w:b w:val="0"/>
                <w:sz w:val="19"/>
              </w:rPr>
              <w:t>黑天鹅事件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616D21E9">
            <w:pPr>
              <w:spacing w:after="0" w:line="269" w:lineRule="auto"/>
            </w:pPr>
            <w:r>
              <w:rPr>
                <w:b w:val="0"/>
                <w:sz w:val="19"/>
              </w:rPr>
              <w:t>关闭</w:t>
            </w:r>
          </w:p>
        </w:tc>
      </w:tr>
      <w:tr w14:paraId="2DD005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2F595BB9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F012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6F967C45">
            <w:pPr>
              <w:spacing w:after="0" w:line="269" w:lineRule="auto"/>
            </w:pPr>
            <w:r>
              <w:rPr>
                <w:b w:val="0"/>
                <w:sz w:val="19"/>
              </w:rPr>
              <w:t>黑天鹅额外恶化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04D92188">
            <w:pPr>
              <w:spacing w:after="0" w:line="269" w:lineRule="auto"/>
            </w:pPr>
            <w:r>
              <w:rPr>
                <w:b w:val="0"/>
                <w:sz w:val="19"/>
              </w:rPr>
              <w:t>关闭</w:t>
            </w:r>
          </w:p>
        </w:tc>
      </w:tr>
      <w:tr w14:paraId="0ADF0F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17CA576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F013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8CD0BE5">
            <w:pPr>
              <w:spacing w:after="0" w:line="269" w:lineRule="auto"/>
            </w:pPr>
            <w:r>
              <w:rPr>
                <w:b w:val="0"/>
                <w:sz w:val="19"/>
              </w:rPr>
              <w:t>信任结算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7F68A316">
            <w:pPr>
              <w:spacing w:after="0" w:line="269" w:lineRule="auto"/>
            </w:pPr>
            <w:r>
              <w:rPr>
                <w:b w:val="0"/>
                <w:sz w:val="19"/>
              </w:rPr>
              <w:t>开启并测试平衡</w:t>
            </w:r>
          </w:p>
        </w:tc>
      </w:tr>
      <w:tr w14:paraId="12D554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8FA"/>
            <w:vAlign w:val="center"/>
          </w:tcPr>
          <w:p w14:paraId="2CA58428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F014</w:t>
            </w:r>
          </w:p>
        </w:tc>
        <w:tc>
          <w:tcPr>
            <w:tcW w:w="3005" w:type="dxa"/>
            <w:shd w:val="clear" w:color="auto" w:fill="F7F8FA"/>
            <w:vAlign w:val="center"/>
          </w:tcPr>
          <w:p w14:paraId="210B609B">
            <w:pPr>
              <w:spacing w:after="0" w:line="269" w:lineRule="auto"/>
            </w:pPr>
            <w:r>
              <w:rPr>
                <w:b w:val="0"/>
                <w:sz w:val="19"/>
              </w:rPr>
              <w:t>信任耗尽失败</w:t>
            </w:r>
          </w:p>
        </w:tc>
        <w:tc>
          <w:tcPr>
            <w:tcW w:w="5386" w:type="dxa"/>
            <w:shd w:val="clear" w:color="auto" w:fill="F7F8FA"/>
            <w:vAlign w:val="center"/>
          </w:tcPr>
          <w:p w14:paraId="35465483">
            <w:pPr>
              <w:spacing w:after="0" w:line="269" w:lineRule="auto"/>
            </w:pPr>
            <w:r>
              <w:rPr>
                <w:b w:val="0"/>
                <w:sz w:val="19"/>
              </w:rPr>
              <w:t>建议开启</w:t>
            </w:r>
          </w:p>
        </w:tc>
      </w:tr>
      <w:tr w14:paraId="4AFF41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A303D1D">
            <w:pPr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F015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5AE956D">
            <w:pPr>
              <w:spacing w:after="0" w:line="269" w:lineRule="auto"/>
            </w:pPr>
            <w:r>
              <w:rPr>
                <w:b w:val="0"/>
                <w:sz w:val="19"/>
              </w:rPr>
              <w:t>世界失败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29AE417">
            <w:pPr>
              <w:spacing w:after="0" w:line="269" w:lineRule="auto"/>
            </w:pPr>
            <w:r>
              <w:rPr>
                <w:b w:val="0"/>
                <w:sz w:val="19"/>
              </w:rPr>
              <w:t>世界影响方案确认后再开启</w:t>
            </w:r>
          </w:p>
        </w:tc>
      </w:tr>
    </w:tbl>
    <w:p w14:paraId="7949E9EF">
      <w:pPr>
        <w:spacing w:before="0" w:after="40" w:line="20" w:lineRule="exact"/>
      </w:pPr>
    </w:p>
    <w:p w14:paraId="34CE8C36">
      <w:pPr>
        <w:pStyle w:val="4"/>
      </w:pPr>
      <w:r>
        <w:t>世界后果与规则合规必须独立</w:t>
      </w:r>
    </w:p>
    <w:p w14:paraId="35A4F069">
      <w:r>
        <w:rPr>
          <w:b w:val="0"/>
        </w:rPr>
        <w:t>F004原式为（记忆+关系−欲望−意志）÷10；F005原式为（记忆−关系−欲望−意志）÷10。请先确认：是否允许审批符合公开规则，却仍给世界带来负面后果。</w:t>
      </w:r>
    </w:p>
    <w:p w14:paraId="1D92CFB8">
      <w:r>
        <w:rPr>
          <w:b w:val="0"/>
        </w:rPr>
        <w:t>建议允许这种长期后果，但需要世界观和叙事能够解释。如果不允许，则应重新校准后果公式。无论选哪种方案，都不能用影响值正负替代合规判定。</w:t>
      </w:r>
    </w:p>
    <w:p w14:paraId="2BCA3223">
      <w:r>
        <w:rPr>
          <w:b w:val="0"/>
        </w:rPr>
        <w:t>信任原式为合规放行数×5−违规放行数×10+5。每天8人、4次合规与4次违规时，信任净减15；初始50时约4天耗尽。请以实际游玩验证惩罚是否过重。拒签不计入该原式的放行人数。</w:t>
      </w:r>
    </w:p>
    <w:p w14:paraId="50F245EA">
      <w:r>
        <w:rPr>
          <w:b/>
        </w:rPr>
        <w:t>请策划确认  本版公式开关、世界后果取向和信任奖惩值：________________</w:t>
      </w:r>
    </w:p>
    <w:p w14:paraId="11CE59A3">
      <w:pPr>
        <w:pStyle w:val="3"/>
        <w:pageBreakBefore/>
      </w:pPr>
      <w:r>
        <w:t>事项8与事项9 生成策略</w:t>
      </w:r>
    </w:p>
    <w:p w14:paraId="5E8FC2C6">
      <w:pPr>
        <w:pStyle w:val="4"/>
      </w:pPr>
      <w:r>
        <w:t>事项8 动机优先顺序与身体状态</w:t>
      </w:r>
    </w:p>
    <w:p w14:paraId="48D2818C">
      <w:r>
        <w:rPr>
          <w:b w:val="0"/>
        </w:rPr>
        <w:t>同一NPC可能同时符合多项极端动机，例如既深受过去影响，又强烈依赖某段关系。需要确定优先描述哪个动机。</w:t>
      </w:r>
    </w:p>
    <w:p w14:paraId="3AF1312F">
      <w:r>
        <w:rPr>
          <w:b w:val="0"/>
        </w:rPr>
        <w:t>建议首版采用固定优先顺序，便于复现和调试。当前程序按动机ID升序取第一项，但编号本身没有剧情优先含义。请策划给出正式顺序；如需自由调整，数据模块应增加独立优先级字段。</w:t>
      </w:r>
    </w:p>
    <w:p w14:paraId="67648115">
      <w:r>
        <w:rPr>
          <w:b/>
        </w:rPr>
        <w:t>请策划确认  多个动机同时命中时的优先顺序：____________________________</w:t>
      </w:r>
    </w:p>
    <w:p w14:paraId="196747ED">
      <w:r>
        <w:rPr>
          <w:b w:val="0"/>
        </w:rPr>
        <w:t>身体状态目前按欲望等级查表。建议首版如仅用于辅助文书，可继续沿用；如果身体状态将成为重要审查依据，应独立定义，避免“欲望高必然身体亢奋”的绑定。</w:t>
      </w:r>
    </w:p>
    <w:p w14:paraId="088F6973">
      <w:r>
        <w:rPr>
          <w:b/>
        </w:rPr>
        <w:t>请策划确认  身体状态沿用欲望等级 / 独立定义；是否参与准入：____________</w:t>
      </w:r>
    </w:p>
    <w:p w14:paraId="1E6BE4DE">
      <w:pPr>
        <w:pStyle w:val="4"/>
      </w:pPr>
      <w:r>
        <w:t>事项9 世界状态影响次日申请者</w:t>
      </w:r>
    </w:p>
    <w:p w14:paraId="250349FD">
      <w:r>
        <w:rPr>
          <w:b w:val="0"/>
        </w:rPr>
        <w:t>请先描述世界恶化后会出现什么变化，再给生成概率。仅写“危险NPC增加”不足以执行，因为程序尚不知道危险具体对应哪项属性、哪个等级。</w:t>
      </w:r>
    </w:p>
    <w:p w14:paraId="27A473D1">
      <w:r>
        <w:rPr>
          <w:b w:val="0"/>
        </w:rPr>
        <w:t>建议首版只选一个世界和一项属性进行验证，保持每日人数不变，只调整后续申请者的属性分布。可按下面句式给出设计：</w:t>
      </w:r>
    </w:p>
    <w:p w14:paraId="09A2B44A">
      <w:r>
        <w:rPr>
          <w:b w:val="0"/>
        </w:rPr>
        <w:t>当________世界状态位于________区间时，次日________属性的________等级生成权重乘以________；其余权重归一化。状态离开该区间后，恢复原分布。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3005"/>
        <w:gridCol w:w="6520"/>
      </w:tblGrid>
      <w:tr w14:paraId="2BF296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3005" w:type="dxa"/>
            <w:shd w:val="clear" w:color="auto" w:fill="E7EDF3"/>
            <w:vAlign w:val="center"/>
          </w:tcPr>
          <w:p w14:paraId="0CCAB0B2">
            <w:pPr>
              <w:spacing w:after="0" w:line="269" w:lineRule="auto"/>
            </w:pPr>
            <w:r>
              <w:rPr>
                <w:b/>
                <w:sz w:val="19"/>
              </w:rPr>
              <w:t>必须提供的信息</w:t>
            </w:r>
          </w:p>
        </w:tc>
        <w:tc>
          <w:tcPr>
            <w:tcW w:w="6520" w:type="dxa"/>
            <w:shd w:val="clear" w:color="auto" w:fill="E7EDF3"/>
            <w:vAlign w:val="center"/>
          </w:tcPr>
          <w:p w14:paraId="58C7A88D">
            <w:pPr>
              <w:spacing w:after="0" w:line="269" w:lineRule="auto"/>
            </w:pPr>
            <w:r>
              <w:rPr>
                <w:b/>
                <w:sz w:val="19"/>
              </w:rPr>
              <w:t>策划填写</w:t>
            </w:r>
          </w:p>
        </w:tc>
      </w:tr>
      <w:tr w14:paraId="2F564E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FFFFF"/>
            <w:vAlign w:val="center"/>
          </w:tcPr>
          <w:p w14:paraId="0C189EC8">
            <w:pPr>
              <w:spacing w:after="0" w:line="269" w:lineRule="auto"/>
            </w:pPr>
            <w:r>
              <w:rPr>
                <w:b w:val="0"/>
                <w:sz w:val="19"/>
              </w:rPr>
              <w:t>世界及触发区间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3F608AE6">
            <w:pPr>
              <w:spacing w:after="0" w:line="269" w:lineRule="auto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46BCD4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7F8FA"/>
            <w:vAlign w:val="center"/>
          </w:tcPr>
          <w:p w14:paraId="5D15D336">
            <w:pPr>
              <w:spacing w:after="0" w:line="269" w:lineRule="auto"/>
            </w:pPr>
            <w:r>
              <w:rPr>
                <w:b w:val="0"/>
                <w:sz w:val="19"/>
              </w:rPr>
              <w:t>属性及等级</w:t>
            </w:r>
          </w:p>
        </w:tc>
        <w:tc>
          <w:tcPr>
            <w:tcW w:w="6520" w:type="dxa"/>
            <w:shd w:val="clear" w:color="auto" w:fill="F7F8FA"/>
            <w:vAlign w:val="center"/>
          </w:tcPr>
          <w:p w14:paraId="21C8C143">
            <w:pPr>
              <w:spacing w:after="0" w:line="269" w:lineRule="auto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5D3023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FFFFF"/>
            <w:vAlign w:val="center"/>
          </w:tcPr>
          <w:p w14:paraId="619C5243">
            <w:pPr>
              <w:spacing w:after="0" w:line="269" w:lineRule="auto"/>
            </w:pPr>
            <w:r>
              <w:rPr>
                <w:b w:val="0"/>
                <w:sz w:val="19"/>
              </w:rPr>
              <w:t>权重变化幅度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5BB31376">
            <w:pPr>
              <w:spacing w:after="0" w:line="269" w:lineRule="auto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71765D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7F8FA"/>
            <w:vAlign w:val="center"/>
          </w:tcPr>
          <w:p w14:paraId="200A4590">
            <w:pPr>
              <w:spacing w:after="0" w:line="269" w:lineRule="auto"/>
            </w:pPr>
            <w:r>
              <w:rPr>
                <w:b w:val="0"/>
                <w:sz w:val="19"/>
              </w:rPr>
              <w:t>状态恢复后的行为</w:t>
            </w:r>
          </w:p>
        </w:tc>
        <w:tc>
          <w:tcPr>
            <w:tcW w:w="6520" w:type="dxa"/>
            <w:shd w:val="clear" w:color="auto" w:fill="F7F8FA"/>
            <w:vAlign w:val="center"/>
          </w:tcPr>
          <w:p w14:paraId="7B27D164">
            <w:pPr>
              <w:spacing w:after="0" w:line="269" w:lineRule="auto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</w:tbl>
    <w:p w14:paraId="7575E3A1">
      <w:pPr>
        <w:spacing w:before="0" w:after="40" w:line="20" w:lineRule="exact"/>
      </w:pPr>
    </w:p>
    <w:p w14:paraId="551EC955">
      <w:r>
        <w:rPr>
          <w:b w:val="0"/>
        </w:rPr>
        <w:t>建议先用较小幅度进行游玩测试，避免世界恶化后陷入不可逆的恶性循环。当前演示中的“灵虚低于50时记忆1级权重×4”只证明程序链路，不能直接作为正式平衡值。</w:t>
      </w:r>
    </w:p>
    <w:p w14:paraId="398068A4">
      <w:r>
        <w:rPr>
          <w:b/>
        </w:rPr>
        <w:t>请策划确认  本版暂时关闭 / 提供正式权重方案；负责人：________________</w:t>
      </w:r>
    </w:p>
    <w:p w14:paraId="5BD64208">
      <w:pPr>
        <w:pStyle w:val="3"/>
        <w:pageBreakBefore/>
      </w:pPr>
      <w:r>
        <w:t>事项10与事项11 反馈和基础内容</w:t>
      </w:r>
    </w:p>
    <w:p w14:paraId="0A559310">
      <w:pPr>
        <w:pStyle w:val="4"/>
      </w:pPr>
      <w:r>
        <w:t>事项10 留声机反馈时机与文案</w:t>
      </w:r>
    </w:p>
    <w:p w14:paraId="6A87B1C4">
      <w:r>
        <w:rPr>
          <w:b w:val="0"/>
        </w:rPr>
        <w:t>需要确定审批后、日结时和次日分别让玩家知道什么。建议即时反馈简短，较完整的后果在日结后进入队列，于次日由留声机呈现。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1701"/>
        <w:gridCol w:w="3628"/>
        <w:gridCol w:w="4195"/>
      </w:tblGrid>
      <w:tr w14:paraId="585A9C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7EDF3"/>
            <w:vAlign w:val="center"/>
          </w:tcPr>
          <w:p w14:paraId="214C10A4">
            <w:pPr>
              <w:spacing w:after="0" w:line="269" w:lineRule="auto"/>
            </w:pPr>
            <w:r>
              <w:rPr>
                <w:b/>
                <w:sz w:val="19"/>
              </w:rPr>
              <w:t>时机</w:t>
            </w:r>
          </w:p>
        </w:tc>
        <w:tc>
          <w:tcPr>
            <w:tcW w:w="3628" w:type="dxa"/>
            <w:shd w:val="clear" w:color="auto" w:fill="E7EDF3"/>
            <w:vAlign w:val="center"/>
          </w:tcPr>
          <w:p w14:paraId="28FAEA0A">
            <w:pPr>
              <w:spacing w:after="0" w:line="269" w:lineRule="auto"/>
            </w:pPr>
            <w:r>
              <w:rPr>
                <w:b/>
                <w:sz w:val="19"/>
              </w:rPr>
              <w:t>首版建议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75F0B3C">
            <w:pPr>
              <w:spacing w:after="0" w:line="269" w:lineRule="auto"/>
            </w:pPr>
            <w:r>
              <w:rPr>
                <w:b/>
                <w:sz w:val="19"/>
              </w:rPr>
              <w:t>策划需要确认</w:t>
            </w:r>
          </w:p>
        </w:tc>
      </w:tr>
      <w:tr w14:paraId="16B2F6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8E2383">
            <w:pPr>
              <w:spacing w:after="0" w:line="269" w:lineRule="auto"/>
            </w:pPr>
            <w:r>
              <w:rPr>
                <w:b w:val="0"/>
                <w:sz w:val="19"/>
              </w:rPr>
              <w:t>提交审批后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15FA8476">
            <w:pPr>
              <w:spacing w:after="0" w:line="269" w:lineRule="auto"/>
            </w:pPr>
            <w:r>
              <w:rPr>
                <w:b w:val="0"/>
                <w:sz w:val="19"/>
              </w:rPr>
              <w:t>提示处理已记录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025D18">
            <w:pPr>
              <w:spacing w:after="0" w:line="269" w:lineRule="auto"/>
            </w:pPr>
            <w:r>
              <w:rPr>
                <w:b w:val="0"/>
                <w:sz w:val="19"/>
              </w:rPr>
              <w:t>是否立即告知合规与否</w:t>
            </w:r>
          </w:p>
        </w:tc>
      </w:tr>
      <w:tr w14:paraId="73B27D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8FA"/>
            <w:vAlign w:val="center"/>
          </w:tcPr>
          <w:p w14:paraId="7DAE1544">
            <w:pPr>
              <w:spacing w:after="0" w:line="269" w:lineRule="auto"/>
            </w:pPr>
            <w:r>
              <w:rPr>
                <w:b w:val="0"/>
                <w:sz w:val="19"/>
              </w:rPr>
              <w:t>每日结算</w:t>
            </w:r>
          </w:p>
        </w:tc>
        <w:tc>
          <w:tcPr>
            <w:tcW w:w="3628" w:type="dxa"/>
            <w:shd w:val="clear" w:color="auto" w:fill="F7F8FA"/>
            <w:vAlign w:val="center"/>
          </w:tcPr>
          <w:p w14:paraId="6A72D452">
            <w:pPr>
              <w:spacing w:after="0" w:line="269" w:lineRule="auto"/>
            </w:pPr>
            <w:r>
              <w:rPr>
                <w:b w:val="0"/>
                <w:sz w:val="19"/>
              </w:rPr>
              <w:t>显示当天必要统计</w:t>
            </w:r>
          </w:p>
        </w:tc>
        <w:tc>
          <w:tcPr>
            <w:tcW w:w="4195" w:type="dxa"/>
            <w:shd w:val="clear" w:color="auto" w:fill="F7F8FA"/>
            <w:vAlign w:val="center"/>
          </w:tcPr>
          <w:p w14:paraId="7453F445">
            <w:pPr>
              <w:spacing w:after="0" w:line="269" w:lineRule="auto"/>
            </w:pPr>
            <w:r>
              <w:rPr>
                <w:b w:val="0"/>
                <w:sz w:val="19"/>
              </w:rPr>
              <w:t>是否展示世界具体数值及信任变化</w:t>
            </w:r>
          </w:p>
        </w:tc>
      </w:tr>
      <w:tr w14:paraId="4CB153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E5108AF">
            <w:pPr>
              <w:spacing w:after="0" w:line="269" w:lineRule="auto"/>
            </w:pPr>
            <w:r>
              <w:rPr>
                <w:b w:val="0"/>
                <w:sz w:val="19"/>
              </w:rPr>
              <w:t>次日留声机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8745BF3">
            <w:pPr>
              <w:spacing w:after="0" w:line="269" w:lineRule="auto"/>
            </w:pPr>
            <w:r>
              <w:rPr>
                <w:b w:val="0"/>
                <w:sz w:val="19"/>
              </w:rPr>
              <w:t>反馈昨日审批后果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C84B272">
            <w:pPr>
              <w:spacing w:after="0" w:line="269" w:lineRule="auto"/>
            </w:pPr>
            <w:r>
              <w:rPr>
                <w:b w:val="0"/>
                <w:sz w:val="19"/>
              </w:rPr>
              <w:t>新闻 传闻 个体后续的内容和触发条件</w:t>
            </w:r>
          </w:p>
        </w:tc>
      </w:tr>
    </w:tbl>
    <w:p w14:paraId="36B72932">
      <w:pPr>
        <w:spacing w:before="0" w:after="40" w:line="20" w:lineRule="exact"/>
      </w:pPr>
    </w:p>
    <w:p w14:paraId="57D8FBE9">
      <w:r>
        <w:rPr>
          <w:b w:val="0"/>
        </w:rPr>
        <w:t>建议至少准备放行灵虚、放行废墟、拒签入所三类反馈样例。每条写明触发条件和可透露的信息，必须能追溯到真实审批或结算，不能只播放随机文本。</w:t>
      </w:r>
    </w:p>
    <w:p w14:paraId="4CEB400E">
      <w:r>
        <w:rPr>
          <w:b w:val="0"/>
        </w:rPr>
        <w:t>当前事实记录模板适合调试，正式游戏应替换为符合世界观的叙事。反馈要区分“单次审批的记账影响”和“整日经恢复、事件、限幅后的实际净变化”，不能将两者混写。</w:t>
      </w:r>
    </w:p>
    <w:p w14:paraId="5D81E8C5">
      <w:r>
        <w:rPr>
          <w:b/>
        </w:rPr>
        <w:t>请策划确认  即时信息范围、延迟天数、正式反馈文案负责人：______________</w:t>
      </w:r>
    </w:p>
    <w:p w14:paraId="7396216A">
      <w:pPr>
        <w:pStyle w:val="4"/>
      </w:pPr>
      <w:r>
        <w:t>事项11 姓名 原籍与初始值</w:t>
      </w:r>
    </w:p>
    <w:p w14:paraId="7BEF7CDD">
      <w:r>
        <w:rPr>
          <w:b w:val="0"/>
        </w:rPr>
        <w:t>建议首版保留每日8名申请者、两个世界初始状态各50、初始信任50。姓名和原籍池目前为项目示例，请决定保留、替换或扩充。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</w:tblPr>
      <w:tblGrid>
        <w:gridCol w:w="2721"/>
        <w:gridCol w:w="6803"/>
      </w:tblGrid>
      <w:tr w14:paraId="389D07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E7EDF3"/>
            <w:vAlign w:val="center"/>
          </w:tcPr>
          <w:p w14:paraId="638A2FE8">
            <w:pPr>
              <w:spacing w:after="0" w:line="269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6803" w:type="dxa"/>
            <w:shd w:val="clear" w:color="auto" w:fill="E7EDF3"/>
            <w:vAlign w:val="center"/>
          </w:tcPr>
          <w:p w14:paraId="01D088D7">
            <w:pPr>
              <w:spacing w:after="0" w:line="269" w:lineRule="auto"/>
            </w:pPr>
            <w:r>
              <w:rPr>
                <w:b/>
                <w:sz w:val="19"/>
              </w:rPr>
              <w:t>建议确认方式</w:t>
            </w:r>
          </w:p>
        </w:tc>
      </w:tr>
      <w:tr w14:paraId="15AF6C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FFFFF"/>
            <w:vAlign w:val="center"/>
          </w:tcPr>
          <w:p w14:paraId="2D13A3CF">
            <w:pPr>
              <w:spacing w:after="0" w:line="269" w:lineRule="auto"/>
            </w:pPr>
            <w:r>
              <w:rPr>
                <w:b w:val="0"/>
                <w:sz w:val="19"/>
              </w:rPr>
              <w:t>初始人数和数值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314A124">
            <w:pPr>
              <w:spacing w:after="0" w:line="269" w:lineRule="auto"/>
            </w:pPr>
            <w:r>
              <w:rPr>
                <w:b w:val="0"/>
                <w:sz w:val="19"/>
              </w:rPr>
              <w:t>确认8人 世界各50 信任50是否作为首版基线</w:t>
            </w:r>
          </w:p>
        </w:tc>
      </w:tr>
      <w:tr w14:paraId="16C2F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7F8FA"/>
            <w:vAlign w:val="center"/>
          </w:tcPr>
          <w:p w14:paraId="007613A2">
            <w:pPr>
              <w:spacing w:after="0" w:line="269" w:lineRule="auto"/>
            </w:pPr>
            <w:r>
              <w:rPr>
                <w:b w:val="0"/>
                <w:sz w:val="19"/>
              </w:rPr>
              <w:t>姓名池</w:t>
            </w:r>
          </w:p>
        </w:tc>
        <w:tc>
          <w:tcPr>
            <w:tcW w:w="6803" w:type="dxa"/>
            <w:shd w:val="clear" w:color="auto" w:fill="F7F8FA"/>
            <w:vAlign w:val="center"/>
          </w:tcPr>
          <w:p w14:paraId="7889B684">
            <w:pPr>
              <w:spacing w:after="0" w:line="269" w:lineRule="auto"/>
            </w:pPr>
            <w:r>
              <w:rPr>
                <w:b w:val="0"/>
                <w:sz w:val="19"/>
              </w:rPr>
              <w:t>确认命名风格并提供正式名单</w:t>
            </w:r>
          </w:p>
        </w:tc>
      </w:tr>
      <w:tr w14:paraId="08ED0D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FFFFF"/>
            <w:vAlign w:val="center"/>
          </w:tcPr>
          <w:p w14:paraId="055588E5">
            <w:pPr>
              <w:spacing w:after="0" w:line="269" w:lineRule="auto"/>
            </w:pPr>
            <w:r>
              <w:rPr>
                <w:b w:val="0"/>
                <w:sz w:val="19"/>
              </w:rPr>
              <w:t>原籍池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D74E797">
            <w:pPr>
              <w:spacing w:after="0" w:line="269" w:lineRule="auto"/>
            </w:pPr>
            <w:r>
              <w:rPr>
                <w:b w:val="0"/>
                <w:sz w:val="19"/>
              </w:rPr>
              <w:t>提供世界观一致的地点名称</w:t>
            </w:r>
          </w:p>
        </w:tc>
      </w:tr>
      <w:tr w14:paraId="3C2039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105" w:type="dxa"/>
            <w:bottom w:w="85" w:type="dxa"/>
            <w:right w:w="105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7F8FA"/>
            <w:vAlign w:val="center"/>
          </w:tcPr>
          <w:p w14:paraId="453F352B">
            <w:pPr>
              <w:spacing w:after="0" w:line="269" w:lineRule="auto"/>
            </w:pPr>
            <w:r>
              <w:rPr>
                <w:b w:val="0"/>
                <w:sz w:val="19"/>
              </w:rPr>
              <w:t>来源世界与原籍</w:t>
            </w:r>
          </w:p>
        </w:tc>
        <w:tc>
          <w:tcPr>
            <w:tcW w:w="6803" w:type="dxa"/>
            <w:shd w:val="clear" w:color="auto" w:fill="F7F8FA"/>
            <w:vAlign w:val="center"/>
          </w:tcPr>
          <w:p w14:paraId="1CA2C8CC">
            <w:pPr>
              <w:spacing w:after="0" w:line="269" w:lineRule="auto"/>
            </w:pPr>
            <w:r>
              <w:rPr>
                <w:b w:val="0"/>
                <w:sz w:val="19"/>
              </w:rPr>
              <w:t>保留独立字段 原籍是具体地区 来源是所属世界</w:t>
            </w:r>
          </w:p>
        </w:tc>
      </w:tr>
    </w:tbl>
    <w:p w14:paraId="05B9CD29">
      <w:pPr>
        <w:spacing w:before="0" w:after="40" w:line="20" w:lineRule="exact"/>
      </w:pPr>
    </w:p>
    <w:p w14:paraId="434040A4">
      <w:r>
        <w:rPr>
          <w:b/>
        </w:rPr>
        <w:t>请策划确认  初始值及姓名原籍处理方案：________________________________</w:t>
      </w:r>
    </w:p>
    <w:p w14:paraId="585697F3">
      <w:pPr>
        <w:pStyle w:val="4"/>
      </w:pPr>
      <w:r>
        <w:t>确认后的协作分工</w:t>
      </w:r>
    </w:p>
    <w:p w14:paraId="1FC1F1D1">
      <w:r>
        <w:rPr>
          <w:b w:val="0"/>
        </w:rPr>
        <w:t>策划提交正式参数、条件、文案和样例；数据负责人更新配置、逻辑及测试；界面负责人接入公告、档案、审批和留声机展示。各方以同一版规则数据验收，不能在界面中另写一套判定。</w:t>
      </w:r>
      <w:bookmarkStart w:id="0" w:name="_GoBack"/>
      <w:bookmarkEnd w:id="0"/>
    </w:p>
    <w:sectPr>
      <w:footerReference r:id="rId5" w:type="default"/>
      <w:pgSz w:w="11906" w:h="16838"/>
      <w:pgMar w:top="1020" w:right="1191" w:bottom="1020" w:left="1191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jiwaiPr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391EC">
    <w:pPr>
      <w:pStyle w:val="24"/>
      <w:jc w:val="right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3D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69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80" w:line="269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 w:line="26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80" w:line="269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69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4020</Words>
  <Characters>5119</Characters>
  <Lines>0</Lines>
  <Paragraphs>0</Paragraphs>
  <TotalTime>1</TotalTime>
  <ScaleCrop>false</ScaleCrop>
  <LinksUpToDate>false</LinksUpToDate>
  <CharactersWithSpaces>5216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凡尘</dc:creator>
  <dc:description>generated by python-docx</dc:description>
  <cp:keywords>彼方委托所 V3 策划 规则 配置 确认</cp:keywords>
  <cp:lastModifiedBy>凡尘</cp:lastModifiedBy>
  <dcterms:modified xsi:type="dcterms:W3CDTF">2026-10-17T11:14:26Z</dcterms:modified>
  <dc:subject>全局配置与数据规则确认</dc:subject>
  <dc:title>彼方委托所 V3 策划确认事项与建议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eyJoZGlkIjoiOTZmMzZhYzc4ZDBkZTA3NmE3YTNkNDg5ZWQwODE1YWYiLCJ1c2VySWQiOiIxNTQ3NTgzNTE3In0=</vt:lpwstr>
  </property>
  <property fmtid="{D5CDD505-2E9C-101B-9397-08002B2CF9AE}" pid="3" name="KSOProductBuildVer">
    <vt:lpwstr>2052-12.1.0.29161</vt:lpwstr>
  </property>
  <property fmtid="{D5CDD505-2E9C-101B-9397-08002B2CF9AE}" pid="4" name="ICV">
    <vt:lpwstr>C12EC1650F3548C381EF078FD03B4AA2_12</vt:lpwstr>
  </property>
</Properties>
</file>