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DE15E4" w:rsidRPr="00DE15E4" w14:paraId="7DEA5305" w14:textId="77777777" w:rsidTr="00DE15E4">
        <w:trPr>
          <w:tblCellSpacing w:w="0" w:type="dxa"/>
        </w:trPr>
        <w:tc>
          <w:tcPr>
            <w:tcW w:w="0" w:type="auto"/>
            <w:shd w:val="clear" w:color="auto" w:fill="FFFFFF"/>
            <w:vAlign w:val="center"/>
            <w:hideMark/>
          </w:tcPr>
          <w:p w14:paraId="23F15F86" w14:textId="054BA4CF" w:rsidR="00DE15E4" w:rsidRPr="00DE15E4" w:rsidRDefault="00DE15E4" w:rsidP="00DE15E4">
            <w:pPr>
              <w:spacing w:after="0" w:line="240" w:lineRule="auto"/>
              <w:jc w:val="center"/>
              <w:rPr>
                <w:rFonts w:ascii="Arial" w:eastAsia="Times New Roman" w:hAnsi="Arial" w:cs="Arial"/>
                <w:sz w:val="24"/>
                <w:szCs w:val="24"/>
                <w:lang w:eastAsia="it-IT"/>
              </w:rPr>
            </w:pPr>
            <w:r w:rsidRPr="00DE15E4">
              <w:rPr>
                <w:rFonts w:ascii="Arial" w:eastAsia="Times New Roman" w:hAnsi="Arial" w:cs="Arial"/>
                <w:b/>
                <w:bCs/>
                <w:sz w:val="36"/>
                <w:szCs w:val="36"/>
                <w:lang w:eastAsia="it-IT"/>
              </w:rPr>
              <w:t>Ibid</w:t>
            </w:r>
            <w:r w:rsidRPr="00DE15E4">
              <w:rPr>
                <w:rFonts w:ascii="Arial" w:eastAsia="Times New Roman" w:hAnsi="Arial" w:cs="Arial"/>
                <w:b/>
                <w:bCs/>
                <w:sz w:val="36"/>
                <w:szCs w:val="36"/>
                <w:lang w:eastAsia="it-IT"/>
              </w:rPr>
              <w:br/>
            </w:r>
            <w:r w:rsidRPr="00DE15E4">
              <w:rPr>
                <w:rFonts w:ascii="Arial" w:eastAsia="Times New Roman" w:hAnsi="Arial" w:cs="Arial"/>
                <w:b/>
                <w:bCs/>
                <w:sz w:val="27"/>
                <w:szCs w:val="27"/>
                <w:lang w:eastAsia="it-IT"/>
              </w:rPr>
              <w:t>By H. P. Lovecraft</w:t>
            </w:r>
            <w:r w:rsidRPr="00DE15E4">
              <w:rPr>
                <w:rFonts w:ascii="Arial" w:eastAsia="Times New Roman" w:hAnsi="Arial" w:cs="Arial"/>
                <w:b/>
                <w:bCs/>
                <w:sz w:val="36"/>
                <w:szCs w:val="36"/>
                <w:lang w:eastAsia="it-IT"/>
              </w:rPr>
              <w:br/>
            </w:r>
            <w:r w:rsidRPr="00DE15E4">
              <w:rPr>
                <w:rFonts w:ascii="Arial" w:eastAsia="Times New Roman" w:hAnsi="Arial" w:cs="Arial"/>
                <w:sz w:val="24"/>
                <w:szCs w:val="24"/>
                <w:lang w:eastAsia="it-IT"/>
              </w:rPr>
              <w:br/>
            </w:r>
            <w:r w:rsidRPr="00DE15E4">
              <w:rPr>
                <w:rFonts w:ascii="Arial" w:eastAsia="Times New Roman" w:hAnsi="Arial" w:cs="Arial"/>
                <w:noProof/>
                <w:sz w:val="24"/>
                <w:szCs w:val="24"/>
                <w:lang w:val="it-IT" w:eastAsia="it-IT"/>
              </w:rPr>
              <w:drawing>
                <wp:inline distT="0" distB="0" distL="0" distR="0" wp14:anchorId="5829C79C" wp14:editId="193AF166">
                  <wp:extent cx="1428750" cy="152400"/>
                  <wp:effectExtent l="0" t="0" r="0" b="0"/>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DE15E4" w:rsidRPr="00DE15E4" w14:paraId="18245415" w14:textId="77777777" w:rsidTr="00DE15E4">
        <w:trPr>
          <w:tblCellSpacing w:w="0" w:type="dxa"/>
        </w:trPr>
        <w:tc>
          <w:tcPr>
            <w:tcW w:w="0" w:type="auto"/>
            <w:shd w:val="clear" w:color="auto" w:fill="FFFFFF"/>
            <w:hideMark/>
          </w:tcPr>
          <w:tbl>
            <w:tblPr>
              <w:tblW w:w="0" w:type="auto"/>
              <w:jc w:val="center"/>
              <w:tblCellSpacing w:w="0" w:type="dxa"/>
              <w:tblCellMar>
                <w:left w:w="0" w:type="dxa"/>
                <w:right w:w="0" w:type="dxa"/>
              </w:tblCellMar>
              <w:tblLook w:val="04A0" w:firstRow="1" w:lastRow="0" w:firstColumn="1" w:lastColumn="0" w:noHBand="0" w:noVBand="1"/>
            </w:tblPr>
            <w:tblGrid>
              <w:gridCol w:w="4525"/>
            </w:tblGrid>
            <w:tr w:rsidR="00DE15E4" w:rsidRPr="00DE15E4" w14:paraId="02BFB88C" w14:textId="77777777">
              <w:trPr>
                <w:tblCellSpacing w:w="0" w:type="dxa"/>
                <w:jc w:val="center"/>
              </w:trPr>
              <w:tc>
                <w:tcPr>
                  <w:tcW w:w="0" w:type="auto"/>
                  <w:vAlign w:val="center"/>
                  <w:hideMark/>
                </w:tcPr>
                <w:p w14:paraId="217FE1A0" w14:textId="77777777" w:rsidR="00DE15E4" w:rsidRPr="00DE15E4" w:rsidRDefault="00DE15E4" w:rsidP="00DE15E4">
                  <w:pPr>
                    <w:spacing w:after="0" w:line="240" w:lineRule="auto"/>
                    <w:rPr>
                      <w:rFonts w:ascii="Arial" w:eastAsia="Times New Roman" w:hAnsi="Arial" w:cs="Arial"/>
                      <w:sz w:val="20"/>
                      <w:szCs w:val="20"/>
                      <w:lang w:eastAsia="it-IT"/>
                    </w:rPr>
                  </w:pPr>
                  <w:r w:rsidRPr="00DE15E4">
                    <w:rPr>
                      <w:rFonts w:ascii="Arial" w:eastAsia="Times New Roman" w:hAnsi="Arial" w:cs="Arial"/>
                      <w:sz w:val="20"/>
                      <w:szCs w:val="20"/>
                      <w:lang w:eastAsia="it-IT"/>
                    </w:rPr>
                    <w:t>(“. . . as Ibid says in his famous </w:t>
                  </w:r>
                  <w:r w:rsidRPr="00DE15E4">
                    <w:rPr>
                      <w:rFonts w:ascii="Arial" w:eastAsia="Times New Roman" w:hAnsi="Arial" w:cs="Arial"/>
                      <w:i/>
                      <w:iCs/>
                      <w:sz w:val="20"/>
                      <w:szCs w:val="20"/>
                      <w:lang w:eastAsia="it-IT"/>
                    </w:rPr>
                    <w:t>Lives of the Poets.</w:t>
                  </w:r>
                  <w:r w:rsidRPr="00DE15E4">
                    <w:rPr>
                      <w:rFonts w:ascii="Arial" w:eastAsia="Times New Roman" w:hAnsi="Arial" w:cs="Arial"/>
                      <w:sz w:val="20"/>
                      <w:szCs w:val="20"/>
                      <w:lang w:eastAsia="it-IT"/>
                    </w:rPr>
                    <w:t>”</w:t>
                  </w:r>
                </w:p>
                <w:p w14:paraId="41FF85E0" w14:textId="77777777" w:rsidR="00DE15E4" w:rsidRPr="00DE15E4" w:rsidRDefault="00DE15E4" w:rsidP="00DE15E4">
                  <w:pPr>
                    <w:spacing w:after="0" w:line="240" w:lineRule="auto"/>
                    <w:jc w:val="right"/>
                    <w:rPr>
                      <w:rFonts w:ascii="Arial" w:eastAsia="Times New Roman" w:hAnsi="Arial" w:cs="Arial"/>
                      <w:sz w:val="20"/>
                      <w:szCs w:val="20"/>
                      <w:lang w:eastAsia="it-IT"/>
                    </w:rPr>
                  </w:pPr>
                  <w:r w:rsidRPr="00DE15E4">
                    <w:rPr>
                      <w:rFonts w:ascii="Arial" w:eastAsia="Times New Roman" w:hAnsi="Arial" w:cs="Arial"/>
                      <w:sz w:val="20"/>
                      <w:szCs w:val="20"/>
                      <w:lang w:eastAsia="it-IT"/>
                    </w:rPr>
                    <w:t>—From a student theme.)</w:t>
                  </w:r>
                </w:p>
              </w:tc>
            </w:tr>
          </w:tbl>
          <w:p w14:paraId="101781FE" w14:textId="0E4A8150" w:rsidR="00DE15E4" w:rsidRPr="00DE15E4" w:rsidRDefault="00DE15E4" w:rsidP="00DE15E4">
            <w:pPr>
              <w:spacing w:after="240" w:line="240" w:lineRule="auto"/>
              <w:rPr>
                <w:rFonts w:ascii="Arial" w:eastAsia="Times New Roman" w:hAnsi="Arial" w:cs="Arial"/>
                <w:sz w:val="20"/>
                <w:szCs w:val="20"/>
                <w:lang w:eastAsia="it-IT"/>
              </w:rPr>
            </w:pPr>
            <w:r w:rsidRPr="00DE15E4">
              <w:rPr>
                <w:rFonts w:ascii="Arial" w:eastAsia="Times New Roman" w:hAnsi="Arial" w:cs="Arial"/>
                <w:sz w:val="20"/>
                <w:szCs w:val="20"/>
                <w:lang w:eastAsia="it-IT"/>
              </w:rPr>
              <w:br/>
              <w:t>The erroneous idea that Ibid is the author of the </w:t>
            </w:r>
            <w:r w:rsidRPr="00DE15E4">
              <w:rPr>
                <w:rFonts w:ascii="Arial" w:eastAsia="Times New Roman" w:hAnsi="Arial" w:cs="Arial"/>
                <w:i/>
                <w:iCs/>
                <w:sz w:val="20"/>
                <w:szCs w:val="20"/>
                <w:lang w:eastAsia="it-IT"/>
              </w:rPr>
              <w:t>Lives</w:t>
            </w:r>
            <w:r w:rsidRPr="00DE15E4">
              <w:rPr>
                <w:rFonts w:ascii="Arial" w:eastAsia="Times New Roman" w:hAnsi="Arial" w:cs="Arial"/>
                <w:sz w:val="20"/>
                <w:szCs w:val="20"/>
                <w:lang w:eastAsia="it-IT"/>
              </w:rPr>
              <w:t> is so frequently met with, even among those pretending to a degree of culture, that it is worth correcting. It should be a matter of general knowledge that Cf. is responsible for this work. Ibid’s masterpiece, on the other hand, was the famous </w:t>
            </w:r>
            <w:r w:rsidRPr="00DE15E4">
              <w:rPr>
                <w:rFonts w:ascii="Arial" w:eastAsia="Times New Roman" w:hAnsi="Arial" w:cs="Arial"/>
                <w:i/>
                <w:iCs/>
                <w:sz w:val="20"/>
                <w:szCs w:val="20"/>
                <w:lang w:eastAsia="it-IT"/>
              </w:rPr>
              <w:t>Op. Cit.</w:t>
            </w:r>
            <w:r w:rsidRPr="00DE15E4">
              <w:rPr>
                <w:rFonts w:ascii="Arial" w:eastAsia="Times New Roman" w:hAnsi="Arial" w:cs="Arial"/>
                <w:sz w:val="20"/>
                <w:szCs w:val="20"/>
                <w:lang w:eastAsia="it-IT"/>
              </w:rPr>
              <w:t> wherein all the significant undercurrents of Graeco-Roman expression were crystallised once for all—and with admirable acuteness, notwithstanding the surprisingly late date at which Ibid wrote. There is a false report—very commonly reproduced in modern books prior to Von Schweinkopf’s monumental </w:t>
            </w:r>
            <w:r w:rsidRPr="00DE15E4">
              <w:rPr>
                <w:rFonts w:ascii="Arial" w:eastAsia="Times New Roman" w:hAnsi="Arial" w:cs="Arial"/>
                <w:i/>
                <w:iCs/>
                <w:sz w:val="20"/>
                <w:szCs w:val="20"/>
                <w:lang w:eastAsia="it-IT"/>
              </w:rPr>
              <w:t>Geschichte der Ostrogothen in Italien</w:t>
            </w:r>
            <w:r w:rsidRPr="00DE15E4">
              <w:rPr>
                <w:rFonts w:ascii="Arial" w:eastAsia="Times New Roman" w:hAnsi="Arial" w:cs="Arial"/>
                <w:sz w:val="20"/>
                <w:szCs w:val="20"/>
                <w:lang w:eastAsia="it-IT"/>
              </w:rPr>
              <w:t>—that Ibid was a Romanised Visigoth of Ataulf’s horde who settled in Placentia about 410 A.D. The contrary cannot be too strongly emphasised; for Von Schweinkopf, and since his time Littlewit</w:t>
            </w:r>
            <w:r w:rsidRPr="00DE15E4">
              <w:rPr>
                <w:rFonts w:ascii="Arial" w:eastAsia="Times New Roman" w:hAnsi="Arial" w:cs="Arial"/>
                <w:sz w:val="15"/>
                <w:szCs w:val="15"/>
                <w:vertAlign w:val="superscript"/>
                <w:lang w:eastAsia="it-IT"/>
              </w:rPr>
              <w:t>1</w:t>
            </w:r>
            <w:r w:rsidRPr="00DE15E4">
              <w:rPr>
                <w:rFonts w:ascii="Arial" w:eastAsia="Times New Roman" w:hAnsi="Arial" w:cs="Arial"/>
                <w:sz w:val="20"/>
                <w:szCs w:val="20"/>
                <w:lang w:eastAsia="it-IT"/>
              </w:rPr>
              <w:t> and Bêtenoir,</w:t>
            </w:r>
            <w:r w:rsidRPr="00DE15E4">
              <w:rPr>
                <w:rFonts w:ascii="Arial" w:eastAsia="Times New Roman" w:hAnsi="Arial" w:cs="Arial"/>
                <w:sz w:val="15"/>
                <w:szCs w:val="15"/>
                <w:vertAlign w:val="superscript"/>
                <w:lang w:eastAsia="it-IT"/>
              </w:rPr>
              <w:t>2</w:t>
            </w:r>
            <w:r w:rsidRPr="00DE15E4">
              <w:rPr>
                <w:rFonts w:ascii="Arial" w:eastAsia="Times New Roman" w:hAnsi="Arial" w:cs="Arial"/>
                <w:sz w:val="20"/>
                <w:szCs w:val="20"/>
                <w:lang w:eastAsia="it-IT"/>
              </w:rPr>
              <w:t> have shewn with irrefutable force that this strikingly isolated figure was a genuine Roman—or at least as genuine a Roman as that degenerate and mongrelised age could produce—of whom one might well say what Gibbon said of Boethius, “that he was the last whom Cato or Tully could have acknowledged for their countryman.” He was, like Boethius and nearly all the eminent men of his age, of the great Anician family, and traced his genealogy with much exactitude and self-satisfaction to all the heroes of the republic. His full name—long and pompous according to the custom of an age which had lost the trinomial simplicity of classic Roman nomenclature—is stated by Von Schweinkopf</w:t>
            </w:r>
            <w:r w:rsidRPr="00DE15E4">
              <w:rPr>
                <w:rFonts w:ascii="Arial" w:eastAsia="Times New Roman" w:hAnsi="Arial" w:cs="Arial"/>
                <w:sz w:val="15"/>
                <w:szCs w:val="15"/>
                <w:vertAlign w:val="superscript"/>
                <w:lang w:eastAsia="it-IT"/>
              </w:rPr>
              <w:t>3</w:t>
            </w:r>
            <w:r w:rsidRPr="00DE15E4">
              <w:rPr>
                <w:rFonts w:ascii="Arial" w:eastAsia="Times New Roman" w:hAnsi="Arial" w:cs="Arial"/>
                <w:sz w:val="20"/>
                <w:szCs w:val="20"/>
                <w:lang w:eastAsia="it-IT"/>
              </w:rPr>
              <w:t> to have been Caius Anicius Magnus Furius Camillus Æmilianus Cornelius Valerius Pompeius Julius Ibidus; though Littlewit</w:t>
            </w:r>
            <w:r w:rsidRPr="00DE15E4">
              <w:rPr>
                <w:rFonts w:ascii="Arial" w:eastAsia="Times New Roman" w:hAnsi="Arial" w:cs="Arial"/>
                <w:sz w:val="15"/>
                <w:szCs w:val="15"/>
                <w:vertAlign w:val="superscript"/>
                <w:lang w:eastAsia="it-IT"/>
              </w:rPr>
              <w:t>4</w:t>
            </w:r>
            <w:r w:rsidRPr="00DE15E4">
              <w:rPr>
                <w:rFonts w:ascii="Arial" w:eastAsia="Times New Roman" w:hAnsi="Arial" w:cs="Arial"/>
                <w:sz w:val="20"/>
                <w:szCs w:val="20"/>
                <w:lang w:eastAsia="it-IT"/>
              </w:rPr>
              <w:t> rejects </w:t>
            </w:r>
            <w:r w:rsidRPr="00DE15E4">
              <w:rPr>
                <w:rFonts w:ascii="Arial" w:eastAsia="Times New Roman" w:hAnsi="Arial" w:cs="Arial"/>
                <w:i/>
                <w:iCs/>
                <w:sz w:val="20"/>
                <w:szCs w:val="20"/>
                <w:lang w:eastAsia="it-IT"/>
              </w:rPr>
              <w:t>Æmilianus</w:t>
            </w:r>
            <w:r w:rsidRPr="00DE15E4">
              <w:rPr>
                <w:rFonts w:ascii="Arial" w:eastAsia="Times New Roman" w:hAnsi="Arial" w:cs="Arial"/>
                <w:sz w:val="20"/>
                <w:szCs w:val="20"/>
                <w:lang w:eastAsia="it-IT"/>
              </w:rPr>
              <w:t> and adds </w:t>
            </w:r>
            <w:r w:rsidRPr="00DE15E4">
              <w:rPr>
                <w:rFonts w:ascii="Arial" w:eastAsia="Times New Roman" w:hAnsi="Arial" w:cs="Arial"/>
                <w:i/>
                <w:iCs/>
                <w:sz w:val="20"/>
                <w:szCs w:val="20"/>
                <w:lang w:eastAsia="it-IT"/>
              </w:rPr>
              <w:t>Claudius Decius Junianus;</w:t>
            </w:r>
            <w:r w:rsidRPr="00DE15E4">
              <w:rPr>
                <w:rFonts w:ascii="Arial" w:eastAsia="Times New Roman" w:hAnsi="Arial" w:cs="Arial"/>
                <w:sz w:val="20"/>
                <w:szCs w:val="20"/>
                <w:lang w:eastAsia="it-IT"/>
              </w:rPr>
              <w:t> whilst Bêtenoir</w:t>
            </w:r>
            <w:r w:rsidRPr="00DE15E4">
              <w:rPr>
                <w:rFonts w:ascii="Arial" w:eastAsia="Times New Roman" w:hAnsi="Arial" w:cs="Arial"/>
                <w:sz w:val="15"/>
                <w:szCs w:val="15"/>
                <w:vertAlign w:val="superscript"/>
                <w:lang w:eastAsia="it-IT"/>
              </w:rPr>
              <w:t>5</w:t>
            </w:r>
            <w:r w:rsidRPr="00DE15E4">
              <w:rPr>
                <w:rFonts w:ascii="Arial" w:eastAsia="Times New Roman" w:hAnsi="Arial" w:cs="Arial"/>
                <w:sz w:val="20"/>
                <w:szCs w:val="20"/>
                <w:lang w:eastAsia="it-IT"/>
              </w:rPr>
              <w:t> differs radically, giving the full name as Magnus Furius Camillus Aurelius Antoninus Flavius Anicius Petronius Valentinianus Aegidus Ibidus.</w:t>
            </w:r>
            <w:r w:rsidRPr="00DE15E4">
              <w:rPr>
                <w:rFonts w:ascii="Arial" w:eastAsia="Times New Roman" w:hAnsi="Arial" w:cs="Arial"/>
                <w:sz w:val="20"/>
                <w:szCs w:val="20"/>
                <w:lang w:eastAsia="it-IT"/>
              </w:rPr>
              <w:br/>
            </w:r>
            <w:r w:rsidRPr="00DE15E4">
              <w:rPr>
                <w:rFonts w:ascii="Arial" w:eastAsia="Times New Roman" w:hAnsi="Arial" w:cs="Arial"/>
                <w:noProof/>
                <w:sz w:val="20"/>
                <w:szCs w:val="20"/>
                <w:lang w:val="it-IT" w:eastAsia="it-IT"/>
              </w:rPr>
              <w:drawing>
                <wp:inline distT="0" distB="0" distL="0" distR="0" wp14:anchorId="55DBA26F" wp14:editId="5C5043EB">
                  <wp:extent cx="240030" cy="7620"/>
                  <wp:effectExtent l="0" t="0" r="0" b="0"/>
                  <wp:docPr id="37" name="Immagine 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E15E4">
              <w:rPr>
                <w:rFonts w:ascii="Arial" w:eastAsia="Times New Roman" w:hAnsi="Arial" w:cs="Arial"/>
                <w:sz w:val="20"/>
                <w:szCs w:val="20"/>
                <w:lang w:eastAsia="it-IT"/>
              </w:rPr>
              <w:t>The eminent critic and biographer was born in the year 486, shortly after the extinction of the Roman rule in Gaul by Clovis. Rome and Ravenna are rivals for the honour of his birth, though it is certain that he received his rhetorical and philosophical training in the schools of Athens—the extent of whose suppression by Theodosius a century before is grossly exaggerated by the superficial. In 512, under the benign rule of the Ostrogoth Theodoric, we behold him as a teacher of rhetoric at Rome, and in 516 he held the consulship together with Pompilius Numantius Bombastes Marcellinus Deodamnatus. Upon the death of Theodoric in 526, Ibidus retired from public life to compose his celebrated work (whose pure Ciceronian style is as remarkable a case of classic atavism as is the verse of Claudius Claudianus, who flourished a century before Ibidus); but he was later recalled to scenes of pomp to act as court rhetorician for Theodatus, nephew of Theodoric.</w:t>
            </w:r>
            <w:r w:rsidRPr="00DE15E4">
              <w:rPr>
                <w:rFonts w:ascii="Arial" w:eastAsia="Times New Roman" w:hAnsi="Arial" w:cs="Arial"/>
                <w:sz w:val="20"/>
                <w:szCs w:val="20"/>
                <w:lang w:eastAsia="it-IT"/>
              </w:rPr>
              <w:br/>
            </w:r>
            <w:r w:rsidRPr="00DE15E4">
              <w:rPr>
                <w:rFonts w:ascii="Arial" w:eastAsia="Times New Roman" w:hAnsi="Arial" w:cs="Arial"/>
                <w:noProof/>
                <w:sz w:val="20"/>
                <w:szCs w:val="20"/>
                <w:lang w:val="it-IT" w:eastAsia="it-IT"/>
              </w:rPr>
              <w:drawing>
                <wp:inline distT="0" distB="0" distL="0" distR="0" wp14:anchorId="65F35257" wp14:editId="264E9A3E">
                  <wp:extent cx="240030" cy="7620"/>
                  <wp:effectExtent l="0" t="0" r="0" b="0"/>
                  <wp:docPr id="36" name="Immagine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E15E4">
              <w:rPr>
                <w:rFonts w:ascii="Arial" w:eastAsia="Times New Roman" w:hAnsi="Arial" w:cs="Arial"/>
                <w:sz w:val="20"/>
                <w:szCs w:val="20"/>
                <w:lang w:eastAsia="it-IT"/>
              </w:rPr>
              <w:t>Upon the usurpation of Vitiges, Ibidus fell into disgrace and was for a time imprisoned; but the coming of the Byzantine-Roman army under Belisarius soon restored him to liberty and honours. Throughout the siege of Rome he served bravely in the army of the defenders, and afterward followed the eagles of Belisarius to Alba, Porto, and Centumcellae. After the Frankish siege of Milan, Ibidus was chosen to accompany the learned Bishop Datius to Greece, and resided with him at Corinth in the year 539. About 541 he removed to Constantinopolis, where he received every mark of imperial favour both from Justinianus and Justinus the Second. The Emperors Tiberius and Maurice did kindly honour to his old age, and contributed much to his immortality—especially Maurice, whose delight it was to trace his ancestry to old Rome notwithstanding his birth at Arabiscus, in Cappadocia. It was Maurice who, in the poet’s 101st year, secured the adoption of his work as a textbook in the schools of the empire, an honour which proved a fatal tax on the aged rhetorician’s emotions, since he passed away peacefully at his home near the church of St. Sophia on the sixth day before the Kalends of September, A.D. 587, in the 102nd year of his age.</w:t>
            </w:r>
            <w:r w:rsidRPr="00DE15E4">
              <w:rPr>
                <w:rFonts w:ascii="Arial" w:eastAsia="Times New Roman" w:hAnsi="Arial" w:cs="Arial"/>
                <w:sz w:val="20"/>
                <w:szCs w:val="20"/>
                <w:lang w:eastAsia="it-IT"/>
              </w:rPr>
              <w:br/>
            </w:r>
            <w:r w:rsidRPr="00DE15E4">
              <w:rPr>
                <w:rFonts w:ascii="Arial" w:eastAsia="Times New Roman" w:hAnsi="Arial" w:cs="Arial"/>
                <w:noProof/>
                <w:sz w:val="20"/>
                <w:szCs w:val="20"/>
                <w:lang w:val="it-IT" w:eastAsia="it-IT"/>
              </w:rPr>
              <w:drawing>
                <wp:inline distT="0" distB="0" distL="0" distR="0" wp14:anchorId="42AAC187" wp14:editId="2AFF5807">
                  <wp:extent cx="240030" cy="7620"/>
                  <wp:effectExtent l="0" t="0" r="0" b="0"/>
                  <wp:docPr id="35" name="Immagine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E15E4">
              <w:rPr>
                <w:rFonts w:ascii="Arial" w:eastAsia="Times New Roman" w:hAnsi="Arial" w:cs="Arial"/>
                <w:sz w:val="20"/>
                <w:szCs w:val="20"/>
                <w:lang w:eastAsia="it-IT"/>
              </w:rPr>
              <w:t>His remains, notwithstanding the troubled state of Italy, were taken to Ravenna for interment; but being interred in the suburb of Classe, were exhumed and ridiculed by the Lombard Duke of Spoleto, who took his skull to King Autharis for use as a wassail-bowl. Ibid’s skull was proudly handed down from king to king of the Lombard line. Upon the capture of Pavia by Charlemagne in 774, the skull was seized from the tottering Desiderius and carried in the train of the Frankish conqueror. It was from this vessel, indeed, that Pope Leo administered the royal unction which made of the hero-nomad a Holy Roman Emperor. Charlemagne took Ibid’s skull to his capital at Aix, soon afterward presenting it to his Saxon teacher Alcuin, upon whose death in 804 it was sent to Alcuin’s kinsfolk in England.</w:t>
            </w:r>
            <w:r w:rsidRPr="00DE15E4">
              <w:rPr>
                <w:rFonts w:ascii="Arial" w:eastAsia="Times New Roman" w:hAnsi="Arial" w:cs="Arial"/>
                <w:sz w:val="20"/>
                <w:szCs w:val="20"/>
                <w:lang w:eastAsia="it-IT"/>
              </w:rPr>
              <w:br/>
            </w:r>
            <w:r w:rsidRPr="00DE15E4">
              <w:rPr>
                <w:rFonts w:ascii="Arial" w:eastAsia="Times New Roman" w:hAnsi="Arial" w:cs="Arial"/>
                <w:noProof/>
                <w:sz w:val="20"/>
                <w:szCs w:val="20"/>
                <w:lang w:val="it-IT" w:eastAsia="it-IT"/>
              </w:rPr>
              <w:drawing>
                <wp:inline distT="0" distB="0" distL="0" distR="0" wp14:anchorId="2BCF1D6E" wp14:editId="218B5202">
                  <wp:extent cx="240030" cy="7620"/>
                  <wp:effectExtent l="0" t="0" r="0" b="0"/>
                  <wp:docPr id="34" name="Immagine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E15E4">
              <w:rPr>
                <w:rFonts w:ascii="Arial" w:eastAsia="Times New Roman" w:hAnsi="Arial" w:cs="Arial"/>
                <w:sz w:val="20"/>
                <w:szCs w:val="20"/>
                <w:lang w:eastAsia="it-IT"/>
              </w:rPr>
              <w:t xml:space="preserve">William the Conqueror, finding it in an abbey niche where the pious family of Alcuin had placed </w:t>
            </w:r>
            <w:r w:rsidRPr="00DE15E4">
              <w:rPr>
                <w:rFonts w:ascii="Arial" w:eastAsia="Times New Roman" w:hAnsi="Arial" w:cs="Arial"/>
                <w:sz w:val="20"/>
                <w:szCs w:val="20"/>
                <w:lang w:eastAsia="it-IT"/>
              </w:rPr>
              <w:lastRenderedPageBreak/>
              <w:t>it (believing it to be the skull of a saint</w:t>
            </w:r>
            <w:r w:rsidRPr="00DE15E4">
              <w:rPr>
                <w:rFonts w:ascii="Arial" w:eastAsia="Times New Roman" w:hAnsi="Arial" w:cs="Arial"/>
                <w:sz w:val="15"/>
                <w:szCs w:val="15"/>
                <w:vertAlign w:val="superscript"/>
                <w:lang w:eastAsia="it-IT"/>
              </w:rPr>
              <w:t>6</w:t>
            </w:r>
            <w:r w:rsidRPr="00DE15E4">
              <w:rPr>
                <w:rFonts w:ascii="Arial" w:eastAsia="Times New Roman" w:hAnsi="Arial" w:cs="Arial"/>
                <w:sz w:val="20"/>
                <w:szCs w:val="20"/>
                <w:lang w:eastAsia="it-IT"/>
              </w:rPr>
              <w:t> who had miraculously annihilated the Lombards by his prayers), did reverence to its osseous antiquity; and even the rough soldiers of Cromwell, upon destroying Ballylough Abbey in Ireland in 1650 (it having been secretly transported thither by a devout Papist in 1539, upon Henry VIII’s dissolution of the English monasteries), declined to offer violence to a relic so venerable.</w:t>
            </w:r>
            <w:r w:rsidRPr="00DE15E4">
              <w:rPr>
                <w:rFonts w:ascii="Arial" w:eastAsia="Times New Roman" w:hAnsi="Arial" w:cs="Arial"/>
                <w:sz w:val="20"/>
                <w:szCs w:val="20"/>
                <w:lang w:eastAsia="it-IT"/>
              </w:rPr>
              <w:br/>
            </w:r>
            <w:r w:rsidRPr="00DE15E4">
              <w:rPr>
                <w:rFonts w:ascii="Arial" w:eastAsia="Times New Roman" w:hAnsi="Arial" w:cs="Arial"/>
                <w:noProof/>
                <w:sz w:val="20"/>
                <w:szCs w:val="20"/>
                <w:lang w:val="it-IT" w:eastAsia="it-IT"/>
              </w:rPr>
              <w:drawing>
                <wp:inline distT="0" distB="0" distL="0" distR="0" wp14:anchorId="43A8C014" wp14:editId="6155DFF4">
                  <wp:extent cx="240030" cy="7620"/>
                  <wp:effectExtent l="0" t="0" r="0" b="0"/>
                  <wp:docPr id="33" name="Immagine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E15E4">
              <w:rPr>
                <w:rFonts w:ascii="Arial" w:eastAsia="Times New Roman" w:hAnsi="Arial" w:cs="Arial"/>
                <w:sz w:val="20"/>
                <w:szCs w:val="20"/>
                <w:lang w:eastAsia="it-IT"/>
              </w:rPr>
              <w:t>It was captured by the private soldier Read-’em-and-Weep Hopkins, who not long after traded it to Rest-in-Jehovah Stubbs for a quid of new Virginia weed. Stubbs, upon sending forth his son Zerubbabel to seek his fortune in New England in 1661 (for he thought ill of the Restoration atmosphere for a pious young yeoman), gave him St. Ibid’s—or rather Brother Ibid’s, for he abhorred all that was Popish—skull as a talisman. Upon landing in Salem Zerubbabel set it up in his cupboard beside the chimney, he having built a modest house near the town pump. However, he had not been wholly unaffected by the Restoration influence; and having become addicted to gaming, lost the skull to one Epenetus Dexter, a visiting freeman of Providence.</w:t>
            </w:r>
            <w:r w:rsidRPr="00DE15E4">
              <w:rPr>
                <w:rFonts w:ascii="Arial" w:eastAsia="Times New Roman" w:hAnsi="Arial" w:cs="Arial"/>
                <w:sz w:val="20"/>
                <w:szCs w:val="20"/>
                <w:lang w:eastAsia="it-IT"/>
              </w:rPr>
              <w:br/>
            </w:r>
            <w:r w:rsidRPr="00DE15E4">
              <w:rPr>
                <w:rFonts w:ascii="Arial" w:eastAsia="Times New Roman" w:hAnsi="Arial" w:cs="Arial"/>
                <w:noProof/>
                <w:sz w:val="20"/>
                <w:szCs w:val="20"/>
                <w:lang w:val="it-IT" w:eastAsia="it-IT"/>
              </w:rPr>
              <w:drawing>
                <wp:inline distT="0" distB="0" distL="0" distR="0" wp14:anchorId="3BDDA52B" wp14:editId="61B98130">
                  <wp:extent cx="240030" cy="7620"/>
                  <wp:effectExtent l="0" t="0" r="0" b="0"/>
                  <wp:docPr id="32" name="Immagine 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E15E4">
              <w:rPr>
                <w:rFonts w:ascii="Arial" w:eastAsia="Times New Roman" w:hAnsi="Arial" w:cs="Arial"/>
                <w:sz w:val="20"/>
                <w:szCs w:val="20"/>
                <w:lang w:eastAsia="it-IT"/>
              </w:rPr>
              <w:t>It was in the house of Dexter, in the northern part of the town near the present intersection of North Main and Olney Streets, on the occasion of Canonchet’s raid of March 30, 1676, during King Philip’s War; and the astute sachem, recognising it at once as a thing of singular venerableness and dignity, sent it as a symbol of alliance to a faction of the Pequots in Connecticut with whom he was negotiating. On April 4 he was captured by the colonists and soon after executed, but the austere head of Ibid continued on its wanderings.</w:t>
            </w:r>
            <w:r w:rsidRPr="00DE15E4">
              <w:rPr>
                <w:rFonts w:ascii="Arial" w:eastAsia="Times New Roman" w:hAnsi="Arial" w:cs="Arial"/>
                <w:sz w:val="20"/>
                <w:szCs w:val="20"/>
                <w:lang w:eastAsia="it-IT"/>
              </w:rPr>
              <w:br/>
            </w:r>
            <w:r w:rsidRPr="00DE15E4">
              <w:rPr>
                <w:rFonts w:ascii="Arial" w:eastAsia="Times New Roman" w:hAnsi="Arial" w:cs="Arial"/>
                <w:noProof/>
                <w:sz w:val="20"/>
                <w:szCs w:val="20"/>
                <w:lang w:val="it-IT" w:eastAsia="it-IT"/>
              </w:rPr>
              <w:drawing>
                <wp:inline distT="0" distB="0" distL="0" distR="0" wp14:anchorId="41163DA9" wp14:editId="1CB7D5B8">
                  <wp:extent cx="240030" cy="7620"/>
                  <wp:effectExtent l="0" t="0" r="0" b="0"/>
                  <wp:docPr id="31" name="Immagine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E15E4">
              <w:rPr>
                <w:rFonts w:ascii="Arial" w:eastAsia="Times New Roman" w:hAnsi="Arial" w:cs="Arial"/>
                <w:sz w:val="20"/>
                <w:szCs w:val="20"/>
                <w:lang w:eastAsia="it-IT"/>
              </w:rPr>
              <w:t>The Pequots, enfeebled by a previous war, could give the now stricken Narragansetts no assistance; and in 1680 a Dutch fur-trader of Albany, Petrus van Schaack, secured the distinguished cranium for the modest sum of two guilders, he having recognised its value from the half-effaced inscription carved in Lombardic minuscules (palaeography, it might be explained, was one of the leading accomplishments of New-Netherland fur-traders of the seventeenth century).</w:t>
            </w:r>
          </w:p>
          <w:p w14:paraId="70E2AA6A" w14:textId="37C006FE" w:rsidR="00DE15E4" w:rsidRPr="00DE15E4" w:rsidRDefault="00DE15E4" w:rsidP="00DE15E4">
            <w:pPr>
              <w:spacing w:after="0" w:line="240" w:lineRule="auto"/>
              <w:jc w:val="center"/>
              <w:rPr>
                <w:rFonts w:ascii="Arial" w:eastAsia="Times New Roman" w:hAnsi="Arial" w:cs="Arial"/>
                <w:sz w:val="20"/>
                <w:szCs w:val="20"/>
                <w:lang w:val="it-IT" w:eastAsia="it-IT"/>
              </w:rPr>
            </w:pPr>
            <w:r w:rsidRPr="00DE15E4">
              <w:rPr>
                <w:rFonts w:ascii="Arial" w:eastAsia="Times New Roman" w:hAnsi="Arial" w:cs="Arial"/>
                <w:noProof/>
                <w:sz w:val="20"/>
                <w:szCs w:val="20"/>
                <w:lang w:val="it-IT" w:eastAsia="it-IT"/>
              </w:rPr>
              <w:drawing>
                <wp:inline distT="0" distB="0" distL="0" distR="0" wp14:anchorId="0D484A79" wp14:editId="413C0CB3">
                  <wp:extent cx="2857500" cy="247650"/>
                  <wp:effectExtent l="0" t="0" r="0" b="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57500" cy="247650"/>
                          </a:xfrm>
                          <a:prstGeom prst="rect">
                            <a:avLst/>
                          </a:prstGeom>
                          <a:noFill/>
                          <a:ln>
                            <a:noFill/>
                          </a:ln>
                        </pic:spPr>
                      </pic:pic>
                    </a:graphicData>
                  </a:graphic>
                </wp:inline>
              </w:drawing>
            </w:r>
          </w:p>
          <w:p w14:paraId="42B09DBE" w14:textId="2BDC467D" w:rsidR="00DE15E4" w:rsidRPr="00DE15E4" w:rsidRDefault="00DE15E4" w:rsidP="00DE15E4">
            <w:pPr>
              <w:spacing w:after="240" w:line="240" w:lineRule="auto"/>
              <w:rPr>
                <w:rFonts w:ascii="Arial" w:eastAsia="Times New Roman" w:hAnsi="Arial" w:cs="Arial"/>
                <w:sz w:val="20"/>
                <w:szCs w:val="20"/>
                <w:lang w:eastAsia="it-IT"/>
              </w:rPr>
            </w:pPr>
            <w:r w:rsidRPr="00DE15E4">
              <w:rPr>
                <w:rFonts w:ascii="Arial" w:eastAsia="Times New Roman" w:hAnsi="Arial" w:cs="Arial"/>
                <w:sz w:val="20"/>
                <w:szCs w:val="20"/>
                <w:lang w:eastAsia="it-IT"/>
              </w:rPr>
              <w:br/>
            </w:r>
            <w:r w:rsidRPr="00DE15E4">
              <w:rPr>
                <w:rFonts w:ascii="Arial" w:eastAsia="Times New Roman" w:hAnsi="Arial" w:cs="Arial"/>
                <w:noProof/>
                <w:sz w:val="20"/>
                <w:szCs w:val="20"/>
                <w:lang w:val="it-IT" w:eastAsia="it-IT"/>
              </w:rPr>
              <w:drawing>
                <wp:inline distT="0" distB="0" distL="0" distR="0" wp14:anchorId="295DC1C6" wp14:editId="48D4EEDC">
                  <wp:extent cx="240030" cy="7620"/>
                  <wp:effectExtent l="0" t="0" r="0" b="0"/>
                  <wp:docPr id="29" name="Immagine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E15E4">
              <w:rPr>
                <w:rFonts w:ascii="Arial" w:eastAsia="Times New Roman" w:hAnsi="Arial" w:cs="Arial"/>
                <w:sz w:val="20"/>
                <w:szCs w:val="20"/>
                <w:lang w:eastAsia="it-IT"/>
              </w:rPr>
              <w:t>From van Schaack, sad to say, the relic was stolen in 1683 by a French trader, Jean Grenier, whose Popish zeal recognised the features of one whom he had been taught at his mother’s knee to revere as St. Ibide. Grenier, fired with virtuous rage at the possession of this holy symbol by a Protestant, crushed van Schaack’s head one night with an axe and escaped to the north with his booty; soon, however, being robbed and slain by the half-breed voyageur Michel Savard, who took the skull—despite the illiteracy which prevented his recognising it—to add to a collection of similar but more recent material.</w:t>
            </w:r>
            <w:r w:rsidRPr="00DE15E4">
              <w:rPr>
                <w:rFonts w:ascii="Arial" w:eastAsia="Times New Roman" w:hAnsi="Arial" w:cs="Arial"/>
                <w:sz w:val="20"/>
                <w:szCs w:val="20"/>
                <w:lang w:eastAsia="it-IT"/>
              </w:rPr>
              <w:br/>
            </w:r>
            <w:r w:rsidRPr="00DE15E4">
              <w:rPr>
                <w:rFonts w:ascii="Arial" w:eastAsia="Times New Roman" w:hAnsi="Arial" w:cs="Arial"/>
                <w:noProof/>
                <w:sz w:val="20"/>
                <w:szCs w:val="20"/>
                <w:lang w:val="it-IT" w:eastAsia="it-IT"/>
              </w:rPr>
              <w:drawing>
                <wp:inline distT="0" distB="0" distL="0" distR="0" wp14:anchorId="0CDF9D27" wp14:editId="38050FE4">
                  <wp:extent cx="240030" cy="7620"/>
                  <wp:effectExtent l="0" t="0" r="0" b="0"/>
                  <wp:docPr id="28" name="Immagine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E15E4">
              <w:rPr>
                <w:rFonts w:ascii="Arial" w:eastAsia="Times New Roman" w:hAnsi="Arial" w:cs="Arial"/>
                <w:sz w:val="20"/>
                <w:szCs w:val="20"/>
                <w:lang w:eastAsia="it-IT"/>
              </w:rPr>
              <w:t>Upon his death in 1701 his half-breed son Pierre traded it among other things to some emissaries of the Sacs and Foxes, and it was found outside the chief’s tepee a generation later by Charles de Langlade, founder of the trading post at Green Bay, Wisconsin. De Langlade regarded this sacred object with proper veneration and ransomed it at the expense of many glass beads; yet after his time it found itself in many other hands, being traded to settlements at the head of Lake Winnebago, to tribes around Lake Mendota, and finally, early in the nineteenth century, to one Solomon Juneau, a Frenchman, at the new trading post of Milwaukee on the Menominee River and the shore of Lake Michigan.</w:t>
            </w:r>
            <w:r w:rsidRPr="00DE15E4">
              <w:rPr>
                <w:rFonts w:ascii="Arial" w:eastAsia="Times New Roman" w:hAnsi="Arial" w:cs="Arial"/>
                <w:sz w:val="20"/>
                <w:szCs w:val="20"/>
                <w:lang w:eastAsia="it-IT"/>
              </w:rPr>
              <w:br/>
            </w:r>
            <w:r w:rsidRPr="00DE15E4">
              <w:rPr>
                <w:rFonts w:ascii="Arial" w:eastAsia="Times New Roman" w:hAnsi="Arial" w:cs="Arial"/>
                <w:noProof/>
                <w:sz w:val="20"/>
                <w:szCs w:val="20"/>
                <w:lang w:val="it-IT" w:eastAsia="it-IT"/>
              </w:rPr>
              <w:drawing>
                <wp:inline distT="0" distB="0" distL="0" distR="0" wp14:anchorId="799C9AEF" wp14:editId="027D7C10">
                  <wp:extent cx="240030" cy="7620"/>
                  <wp:effectExtent l="0" t="0" r="0" b="0"/>
                  <wp:docPr id="27" name="Immagine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E15E4">
              <w:rPr>
                <w:rFonts w:ascii="Arial" w:eastAsia="Times New Roman" w:hAnsi="Arial" w:cs="Arial"/>
                <w:sz w:val="20"/>
                <w:szCs w:val="20"/>
                <w:lang w:eastAsia="it-IT"/>
              </w:rPr>
              <w:t>Later traded to Jacques Caboche, another settler, it was in 1850 lost in a game of chess or poker to a newcomer named Hans Zimmerman; being used by him as a beer-stein until one day, under the spell of its contents, he suffered it to roll from his front stoop to the prairie path before his home—where, falling into the burrow of a prairie-dog, it passed beyond his power of discovery or recovery upon his awaking.</w:t>
            </w:r>
            <w:r w:rsidRPr="00DE15E4">
              <w:rPr>
                <w:rFonts w:ascii="Arial" w:eastAsia="Times New Roman" w:hAnsi="Arial" w:cs="Arial"/>
                <w:sz w:val="20"/>
                <w:szCs w:val="20"/>
                <w:lang w:eastAsia="it-IT"/>
              </w:rPr>
              <w:br/>
            </w:r>
            <w:r w:rsidRPr="00DE15E4">
              <w:rPr>
                <w:rFonts w:ascii="Arial" w:eastAsia="Times New Roman" w:hAnsi="Arial" w:cs="Arial"/>
                <w:noProof/>
                <w:sz w:val="20"/>
                <w:szCs w:val="20"/>
                <w:lang w:val="it-IT" w:eastAsia="it-IT"/>
              </w:rPr>
              <w:drawing>
                <wp:inline distT="0" distB="0" distL="0" distR="0" wp14:anchorId="07F0C4C1" wp14:editId="0131C9F6">
                  <wp:extent cx="240030" cy="7620"/>
                  <wp:effectExtent l="0" t="0" r="0" b="0"/>
                  <wp:docPr id="26" name="Immagin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E15E4">
              <w:rPr>
                <w:rFonts w:ascii="Arial" w:eastAsia="Times New Roman" w:hAnsi="Arial" w:cs="Arial"/>
                <w:sz w:val="20"/>
                <w:szCs w:val="20"/>
                <w:lang w:eastAsia="it-IT"/>
              </w:rPr>
              <w:t>So for generations did the sainted skull of Caius Anicius Magnus Furius Camillus Æmilianus Cornelius Valerius Pompeius Julius Ibidus, consul of Rome, favourite of emperors, and saint of the Romish church, lie hidden beneath the soil of a growing town. At first worshipped with dark rites by the prairie-dogs, who saw in it a deity sent from the upper world, it afterward fell into dire neglect as the race of simple, artless burrowers succumbed before the onslaught of the conquering Aryan. Sewers came, but they passed by it. Houses went up—2303 of them, and more—and at last one fateful night a titan thing occurred. Subtle Nature, convulsed with a spiritual ecstasy, like the froth of that region’s quondam beverage, laid low the lofty and heaved high the humble—and behold! In the roseal dawn the burghers of Milwaukee rose to find a former prairie turned to a highland! Vast and far-reaching was the great upheaval. Subterrene arcana, hidden for years, came at last to the light. For there, full in the rifted roadway, lay bleached and tranquil in bland, saintly, and consular pomp the dome-like skull of Ibid!</w:t>
            </w:r>
          </w:p>
          <w:p w14:paraId="0CA057F8" w14:textId="77777777" w:rsidR="00DE15E4" w:rsidRPr="00DE15E4" w:rsidRDefault="00DE15E4" w:rsidP="00DE15E4">
            <w:pPr>
              <w:spacing w:after="0" w:line="240" w:lineRule="auto"/>
              <w:jc w:val="center"/>
              <w:rPr>
                <w:rFonts w:ascii="Arial" w:eastAsia="Times New Roman" w:hAnsi="Arial" w:cs="Arial"/>
                <w:sz w:val="20"/>
                <w:szCs w:val="20"/>
                <w:lang w:eastAsia="it-IT"/>
              </w:rPr>
            </w:pPr>
            <w:r w:rsidRPr="00DE15E4">
              <w:rPr>
                <w:rFonts w:ascii="Arial" w:eastAsia="Times New Roman" w:hAnsi="Arial" w:cs="Arial"/>
                <w:sz w:val="20"/>
                <w:szCs w:val="20"/>
                <w:lang w:eastAsia="it-IT"/>
              </w:rPr>
              <w:t>[NOTES]</w:t>
            </w:r>
          </w:p>
          <w:p w14:paraId="7E5B85AE" w14:textId="1949E077" w:rsidR="00DE15E4" w:rsidRPr="00DE15E4" w:rsidRDefault="00DE15E4" w:rsidP="00DE15E4">
            <w:pPr>
              <w:spacing w:after="0" w:line="240" w:lineRule="auto"/>
              <w:rPr>
                <w:rFonts w:ascii="Arial" w:eastAsia="Times New Roman" w:hAnsi="Arial" w:cs="Arial"/>
                <w:sz w:val="20"/>
                <w:szCs w:val="20"/>
                <w:lang w:eastAsia="it-IT"/>
              </w:rPr>
            </w:pPr>
            <w:r w:rsidRPr="00DE15E4">
              <w:rPr>
                <w:rFonts w:ascii="Arial" w:eastAsia="Times New Roman" w:hAnsi="Arial" w:cs="Arial"/>
                <w:sz w:val="20"/>
                <w:szCs w:val="20"/>
                <w:lang w:eastAsia="it-IT"/>
              </w:rPr>
              <w:lastRenderedPageBreak/>
              <w:br/>
            </w:r>
            <w:r w:rsidRPr="00DE15E4">
              <w:rPr>
                <w:rFonts w:ascii="Arial" w:eastAsia="Times New Roman" w:hAnsi="Arial" w:cs="Arial"/>
                <w:noProof/>
                <w:sz w:val="20"/>
                <w:szCs w:val="20"/>
                <w:lang w:val="it-IT" w:eastAsia="it-IT"/>
              </w:rPr>
              <w:drawing>
                <wp:inline distT="0" distB="0" distL="0" distR="0" wp14:anchorId="3AB8D264" wp14:editId="062D7764">
                  <wp:extent cx="240030" cy="7620"/>
                  <wp:effectExtent l="0" t="0" r="0" b="0"/>
                  <wp:docPr id="25" name="Immagin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E15E4">
              <w:rPr>
                <w:rFonts w:ascii="Arial" w:eastAsia="Times New Roman" w:hAnsi="Arial" w:cs="Arial"/>
                <w:sz w:val="15"/>
                <w:szCs w:val="15"/>
                <w:vertAlign w:val="superscript"/>
                <w:lang w:eastAsia="it-IT"/>
              </w:rPr>
              <w:t>1</w:t>
            </w:r>
            <w:r w:rsidRPr="00DE15E4">
              <w:rPr>
                <w:rFonts w:ascii="Arial" w:eastAsia="Times New Roman" w:hAnsi="Arial" w:cs="Arial"/>
                <w:sz w:val="20"/>
                <w:szCs w:val="20"/>
                <w:lang w:eastAsia="it-IT"/>
              </w:rPr>
              <w:t> </w:t>
            </w:r>
            <w:r w:rsidRPr="00DE15E4">
              <w:rPr>
                <w:rFonts w:ascii="Arial" w:eastAsia="Times New Roman" w:hAnsi="Arial" w:cs="Arial"/>
                <w:i/>
                <w:iCs/>
                <w:sz w:val="20"/>
                <w:szCs w:val="20"/>
                <w:lang w:eastAsia="it-IT"/>
              </w:rPr>
              <w:t>Rome and Byzantium: A Study in Survival</w:t>
            </w:r>
            <w:r w:rsidRPr="00DE15E4">
              <w:rPr>
                <w:rFonts w:ascii="Arial" w:eastAsia="Times New Roman" w:hAnsi="Arial" w:cs="Arial"/>
                <w:sz w:val="20"/>
                <w:szCs w:val="20"/>
                <w:lang w:eastAsia="it-IT"/>
              </w:rPr>
              <w:t> (Waukesha, 1869), Vol. XX, p. 598.</w:t>
            </w:r>
            <w:r w:rsidRPr="00DE15E4">
              <w:rPr>
                <w:rFonts w:ascii="Arial" w:eastAsia="Times New Roman" w:hAnsi="Arial" w:cs="Arial"/>
                <w:sz w:val="20"/>
                <w:szCs w:val="20"/>
                <w:lang w:eastAsia="it-IT"/>
              </w:rPr>
              <w:br/>
            </w:r>
            <w:r w:rsidRPr="00DE15E4">
              <w:rPr>
                <w:rFonts w:ascii="Arial" w:eastAsia="Times New Roman" w:hAnsi="Arial" w:cs="Arial"/>
                <w:noProof/>
                <w:sz w:val="20"/>
                <w:szCs w:val="20"/>
                <w:lang w:val="it-IT" w:eastAsia="it-IT"/>
              </w:rPr>
              <w:drawing>
                <wp:inline distT="0" distB="0" distL="0" distR="0" wp14:anchorId="5F6C1B98" wp14:editId="0A07E174">
                  <wp:extent cx="240030" cy="7620"/>
                  <wp:effectExtent l="0" t="0" r="0" b="0"/>
                  <wp:docPr id="24" name="Immagin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E15E4">
              <w:rPr>
                <w:rFonts w:ascii="Arial" w:eastAsia="Times New Roman" w:hAnsi="Arial" w:cs="Arial"/>
                <w:sz w:val="15"/>
                <w:szCs w:val="15"/>
                <w:vertAlign w:val="superscript"/>
                <w:lang w:eastAsia="it-IT"/>
              </w:rPr>
              <w:t>2</w:t>
            </w:r>
            <w:r w:rsidRPr="00DE15E4">
              <w:rPr>
                <w:rFonts w:ascii="Arial" w:eastAsia="Times New Roman" w:hAnsi="Arial" w:cs="Arial"/>
                <w:sz w:val="20"/>
                <w:szCs w:val="20"/>
                <w:lang w:eastAsia="it-IT"/>
              </w:rPr>
              <w:t> </w:t>
            </w:r>
            <w:r w:rsidRPr="00DE15E4">
              <w:rPr>
                <w:rFonts w:ascii="Arial" w:eastAsia="Times New Roman" w:hAnsi="Arial" w:cs="Arial"/>
                <w:i/>
                <w:iCs/>
                <w:sz w:val="20"/>
                <w:szCs w:val="20"/>
                <w:lang w:eastAsia="it-IT"/>
              </w:rPr>
              <w:t>Influences Romains dans le Moyen Age</w:t>
            </w:r>
            <w:r w:rsidRPr="00DE15E4">
              <w:rPr>
                <w:rFonts w:ascii="Arial" w:eastAsia="Times New Roman" w:hAnsi="Arial" w:cs="Arial"/>
                <w:sz w:val="20"/>
                <w:szCs w:val="20"/>
                <w:lang w:eastAsia="it-IT"/>
              </w:rPr>
              <w:t> (Fond du Lac, 1877), Vol. XV, p. 720.</w:t>
            </w:r>
            <w:r w:rsidRPr="00DE15E4">
              <w:rPr>
                <w:rFonts w:ascii="Arial" w:eastAsia="Times New Roman" w:hAnsi="Arial" w:cs="Arial"/>
                <w:sz w:val="20"/>
                <w:szCs w:val="20"/>
                <w:lang w:eastAsia="it-IT"/>
              </w:rPr>
              <w:br/>
            </w:r>
            <w:r w:rsidRPr="00DE15E4">
              <w:rPr>
                <w:rFonts w:ascii="Arial" w:eastAsia="Times New Roman" w:hAnsi="Arial" w:cs="Arial"/>
                <w:noProof/>
                <w:sz w:val="20"/>
                <w:szCs w:val="20"/>
                <w:lang w:val="it-IT" w:eastAsia="it-IT"/>
              </w:rPr>
              <w:drawing>
                <wp:inline distT="0" distB="0" distL="0" distR="0" wp14:anchorId="516B8B2E" wp14:editId="039B3C35">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E15E4">
              <w:rPr>
                <w:rFonts w:ascii="Arial" w:eastAsia="Times New Roman" w:hAnsi="Arial" w:cs="Arial"/>
                <w:sz w:val="15"/>
                <w:szCs w:val="15"/>
                <w:vertAlign w:val="superscript"/>
                <w:lang w:eastAsia="it-IT"/>
              </w:rPr>
              <w:t>3</w:t>
            </w:r>
            <w:r w:rsidRPr="00DE15E4">
              <w:rPr>
                <w:rFonts w:ascii="Arial" w:eastAsia="Times New Roman" w:hAnsi="Arial" w:cs="Arial"/>
                <w:sz w:val="20"/>
                <w:szCs w:val="20"/>
                <w:lang w:eastAsia="it-IT"/>
              </w:rPr>
              <w:t> Following Procopius, </w:t>
            </w:r>
            <w:r w:rsidRPr="00DE15E4">
              <w:rPr>
                <w:rFonts w:ascii="Arial" w:eastAsia="Times New Roman" w:hAnsi="Arial" w:cs="Arial"/>
                <w:i/>
                <w:iCs/>
                <w:sz w:val="20"/>
                <w:szCs w:val="20"/>
                <w:lang w:eastAsia="it-IT"/>
              </w:rPr>
              <w:t>Goth.</w:t>
            </w:r>
            <w:r w:rsidRPr="00DE15E4">
              <w:rPr>
                <w:rFonts w:ascii="Arial" w:eastAsia="Times New Roman" w:hAnsi="Arial" w:cs="Arial"/>
                <w:sz w:val="20"/>
                <w:szCs w:val="20"/>
                <w:lang w:eastAsia="it-IT"/>
              </w:rPr>
              <w:t> x.y.z.</w:t>
            </w:r>
            <w:r w:rsidRPr="00DE15E4">
              <w:rPr>
                <w:rFonts w:ascii="Arial" w:eastAsia="Times New Roman" w:hAnsi="Arial" w:cs="Arial"/>
                <w:sz w:val="20"/>
                <w:szCs w:val="20"/>
                <w:lang w:eastAsia="it-IT"/>
              </w:rPr>
              <w:br/>
            </w:r>
            <w:r w:rsidRPr="00DE15E4">
              <w:rPr>
                <w:rFonts w:ascii="Arial" w:eastAsia="Times New Roman" w:hAnsi="Arial" w:cs="Arial"/>
                <w:noProof/>
                <w:sz w:val="20"/>
                <w:szCs w:val="20"/>
                <w:lang w:val="it-IT" w:eastAsia="it-IT"/>
              </w:rPr>
              <w:drawing>
                <wp:inline distT="0" distB="0" distL="0" distR="0" wp14:anchorId="25C7524F" wp14:editId="6C2E351E">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E15E4">
              <w:rPr>
                <w:rFonts w:ascii="Arial" w:eastAsia="Times New Roman" w:hAnsi="Arial" w:cs="Arial"/>
                <w:sz w:val="15"/>
                <w:szCs w:val="15"/>
                <w:vertAlign w:val="superscript"/>
                <w:lang w:eastAsia="it-IT"/>
              </w:rPr>
              <w:t>4</w:t>
            </w:r>
            <w:r w:rsidRPr="00DE15E4">
              <w:rPr>
                <w:rFonts w:ascii="Arial" w:eastAsia="Times New Roman" w:hAnsi="Arial" w:cs="Arial"/>
                <w:sz w:val="20"/>
                <w:szCs w:val="20"/>
                <w:lang w:eastAsia="it-IT"/>
              </w:rPr>
              <w:t> Following Jornandes, Codex Murat. xxj. 4144.</w:t>
            </w:r>
            <w:r w:rsidRPr="00DE15E4">
              <w:rPr>
                <w:rFonts w:ascii="Arial" w:eastAsia="Times New Roman" w:hAnsi="Arial" w:cs="Arial"/>
                <w:sz w:val="20"/>
                <w:szCs w:val="20"/>
                <w:lang w:eastAsia="it-IT"/>
              </w:rPr>
              <w:br/>
            </w:r>
            <w:r w:rsidRPr="00DE15E4">
              <w:rPr>
                <w:rFonts w:ascii="Arial" w:eastAsia="Times New Roman" w:hAnsi="Arial" w:cs="Arial"/>
                <w:noProof/>
                <w:sz w:val="20"/>
                <w:szCs w:val="20"/>
                <w:lang w:val="it-IT" w:eastAsia="it-IT"/>
              </w:rPr>
              <w:drawing>
                <wp:inline distT="0" distB="0" distL="0" distR="0" wp14:anchorId="6AAD5812" wp14:editId="5CC11297">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E15E4">
              <w:rPr>
                <w:rFonts w:ascii="Arial" w:eastAsia="Times New Roman" w:hAnsi="Arial" w:cs="Arial"/>
                <w:sz w:val="15"/>
                <w:szCs w:val="15"/>
                <w:vertAlign w:val="superscript"/>
                <w:lang w:eastAsia="it-IT"/>
              </w:rPr>
              <w:t>5</w:t>
            </w:r>
            <w:r w:rsidRPr="00DE15E4">
              <w:rPr>
                <w:rFonts w:ascii="Arial" w:eastAsia="Times New Roman" w:hAnsi="Arial" w:cs="Arial"/>
                <w:sz w:val="20"/>
                <w:szCs w:val="20"/>
                <w:lang w:eastAsia="it-IT"/>
              </w:rPr>
              <w:t> After Pagi, 50–50.</w:t>
            </w:r>
            <w:r w:rsidRPr="00DE15E4">
              <w:rPr>
                <w:rFonts w:ascii="Arial" w:eastAsia="Times New Roman" w:hAnsi="Arial" w:cs="Arial"/>
                <w:sz w:val="20"/>
                <w:szCs w:val="20"/>
                <w:lang w:eastAsia="it-IT"/>
              </w:rPr>
              <w:br/>
            </w:r>
            <w:r w:rsidRPr="00DE15E4">
              <w:rPr>
                <w:rFonts w:ascii="Arial" w:eastAsia="Times New Roman" w:hAnsi="Arial" w:cs="Arial"/>
                <w:noProof/>
                <w:sz w:val="20"/>
                <w:szCs w:val="20"/>
                <w:lang w:val="it-IT" w:eastAsia="it-IT"/>
              </w:rPr>
              <w:drawing>
                <wp:inline distT="0" distB="0" distL="0" distR="0" wp14:anchorId="17188D4C" wp14:editId="0B05D901">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DE15E4">
              <w:rPr>
                <w:rFonts w:ascii="Arial" w:eastAsia="Times New Roman" w:hAnsi="Arial" w:cs="Arial"/>
                <w:sz w:val="15"/>
                <w:szCs w:val="15"/>
                <w:vertAlign w:val="superscript"/>
                <w:lang w:eastAsia="it-IT"/>
              </w:rPr>
              <w:t>6</w:t>
            </w:r>
            <w:r w:rsidRPr="00DE15E4">
              <w:rPr>
                <w:rFonts w:ascii="Arial" w:eastAsia="Times New Roman" w:hAnsi="Arial" w:cs="Arial"/>
                <w:sz w:val="20"/>
                <w:szCs w:val="20"/>
                <w:lang w:eastAsia="it-IT"/>
              </w:rPr>
              <w:t> Not till the appearance of von Schweinkopf’s work in 1797 were St. Ibid and the rhetorician properly re-identified.</w:t>
            </w:r>
          </w:p>
        </w:tc>
      </w:tr>
    </w:tbl>
    <w:p w14:paraId="04593059"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5E4"/>
    <w:rsid w:val="00382D1B"/>
    <w:rsid w:val="00650B0D"/>
    <w:rsid w:val="00A84814"/>
    <w:rsid w:val="00DE15E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84C71"/>
  <w15:chartTrackingRefBased/>
  <w15:docId w15:val="{FE4D8A69-AE40-4159-BE7A-82961AEE5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99287784">
      <w:bodyDiv w:val="1"/>
      <w:marLeft w:val="0"/>
      <w:marRight w:val="0"/>
      <w:marTop w:val="0"/>
      <w:marBottom w:val="0"/>
      <w:divBdr>
        <w:top w:val="none" w:sz="0" w:space="0" w:color="auto"/>
        <w:left w:val="none" w:sz="0" w:space="0" w:color="auto"/>
        <w:bottom w:val="none" w:sz="0" w:space="0" w:color="auto"/>
        <w:right w:val="none" w:sz="0" w:space="0" w:color="auto"/>
      </w:divBdr>
    </w:div>
    <w:div w:id="2081904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gif"/><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1562</Words>
  <Characters>8905</Characters>
  <Application>Microsoft Office Word</Application>
  <DocSecurity>0</DocSecurity>
  <Lines>74</Lines>
  <Paragraphs>20</Paragraphs>
  <ScaleCrop>false</ScaleCrop>
  <Company/>
  <LinksUpToDate>false</LinksUpToDate>
  <CharactersWithSpaces>10447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cp:revision>
  <dcterms:created xsi:type="dcterms:W3CDTF">2020-05-02T17:07:00Z</dcterms:created>
  <dcterms:modified xsi:type="dcterms:W3CDTF">2020-05-02T17:07:00Z</dcterms:modified>
</cp:coreProperties>
</file>