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pPr>
        <ns0:jc ns0:val="center"/>
      </ns0:pPr>
      <ns0:r>
        <ns0:t>智能磨损识别技术</ns0:t>
      </ns0:r>
    </ns0:p>
    <ns0:p>
      <ns0:pPr>
        <ns0:jc ns0:val="center"/>
      </ns0:pPr>
      <ns0:r>
        <ns0:rPr>
          <ns0:b/>
          <ns0:sz ns0:val="36"/>
        </ns0:rPr>
        <ns0:t>测试大纲</ns0:t>
      </ns0:r>
    </ns0:p>
    <ns0:p/>
    <ns0:p>
      <ns0:pPr>
        <ns0:jc ns0:val="center"/>
      </ns0:pPr>
      <ns0:r>
        <ns0:t>预期成果名称：智能磨损识别技术</ns0:t>
      </ns0:r>
    </ns0:p>
    <ns0:p>
      <ns0:pPr>
        <ns0:jc ns0:val="center"/>
      </ns0:pPr>
      <ns0:r>
        <ns0:t>测试阶段：中期目标验证 — 磨损识别准确率</ns0:t>
      </ns0:r>
    </ns0:p>
    <ns0:p>
      <ns0:pPr>
        <ns0:jc ns0:val="center"/>
      </ns0:pPr>
      <ns0:r>
        <ns0:t>测试基准：磨损识别准确率中期指标值 60%（当前阶段以 mAP@0.5 作为量化判据）</ns0:t>
      </ns0:r>
    </ns0:p>
    <ns0:p>
      <ns0:pPr>
        <ns0:jc ns0:val="center"/>
      </ns0:pPr>
      <ns0:r>
        <ns0:rPr>
          <ns0:b/>
          <ns0:sz ns0:val="24"/>
        </ns0:rPr>
        <ns0:t>承担单位：</ns0:t>
      </ns0:r>
      <ns0:r>
        <ns0:rPr>
          <ns0:sz ns0:val="24"/>
        </ns0:rPr>
        <ns0:t xml:space="preserve">                                    </ns0:t>
      </ns0:r>
    </ns0:p>
    <ns0:p>
      <ns0:pPr>
        <ns0:jc ns0:val="center"/>
      </ns0:pPr>
      <ns0:r>
        <ns0:rPr>
          <ns0:b/>
          <ns0:sz ns0:val="24"/>
        </ns0:rPr>
        <ns0:t>项目负责人：</ns0:t>
      </ns0:r>
      <ns0:r>
        <ns0:rPr>
          <ns0:sz ns0:val="24"/>
        </ns0:rPr>
        <ns0:t xml:space="preserve">                                    </ns0:t>
      </ns0:r>
    </ns0:p>
    <ns0:p>
      <ns0:pPr>
        <ns0:jc ns0:val="center"/>
      </ns0:pPr>
      <ns0:r>
        <ns0:rPr>
          <ns0:b/>
          <ns0:sz ns0:val="24"/>
        </ns0:rPr>
        <ns0:t>测试日期：</ns0:t>
      </ns0:r>
      <ns0:r>
        <ns0:rPr>
          <ns0:sz ns0:val="24"/>
        </ns0:rPr>
        <ns0:t>2026年  月  日</ns0:t>
      </ns0:r>
    </ns0:p>
    <ns0:p>
      <ns0:pPr>
        <ns0:jc ns0:val="center"/>
      </ns0:pPr>
      <ns0:r>
        <ns0:rPr>
          <ns0:sz ns0:val="24"/>
        </ns0:rPr>
        <ns0:t>二〇二六年三月</ns0:t>
      </ns0:r>
    </ns0:p>
    <ns0:p>
      <ns0:r>
        <ns0:br ns0:type="page"/>
      </ns0:r>
    </ns0:p>
    <ns0:p>
      <ns0:pPr>
        <ns0:pStyle ns0:val="Heading1"/>
      </ns0:pPr>
      <ns0:r>
        <ns0:t>1 系统背景与介绍</ns0:t>
      </ns0:r>
    </ns0:p>
    <ns0:p>
      <ns0:r>
        <ns0:t>暗场显微镜成像技术通过大角度斜射照明，使镜片表面无缺陷区域呈现全暗背景，而划痕、凹坑、密集磨损区等缺陷因散射光而形成高亮响应。本技术面向眼镜镜片磨损状态的智能识别需求，构建了智能磨损识别模型，通过多阶段标注清洗与伪标签迭代，在保持高召回率的同时有效控制误检，实现对划痕（scratch）、斑点（spot）、密集缺损区（critical）等磨损相关缺陷的准确识别。</ns0:t>
      </ns0:r>
    </ns0:p>
    <ns0:p>
      <ns0:r>
        <ns0:t>本次测试为中期里程碑验证，核心目标为验证系统磨损识别准确率是否达到不低于 60% 的中期指标要求，当前阶段以 mAP@0.5 作为量化判据。项目数据集统一采用三层术语表述：整体数据集、训练验证数据集、留出测试数据集。其中整体数据集共 247 张原图、10621 个切片、112929 个标注缺陷框；预留 20 张原图、860 个切片、8321 个标注缺陷框作为留出测试数据集后，当前训练验证数据集规模为 227 张原图、9761 个切片、104608 个标注缺陷框。</ns0:t>
      </ns0:r>
    </ns0:p>
    <ns0:p>
      <ns0:pPr>
        <ns0:pStyle ns0:val="Heading1"/>
      </ns0:pPr>
      <ns0:r>
        <ns0:t>2 测试内容</ns0:t>
      </ns0:r>
    </ns0:p>
    <ns0:p>
      <ns0:pPr>
        <ns0:pStyle ns0:val="Heading2"/>
      </ns0:pPr>
      <ns0:r>
        <ns0:t>2.1 量化指标：磨损识别准确率（中期指标值 60%，当前阶段以 mAP@0.5 作为量化判据）</ns0:t>
      </ns0:r>
    </ns0:p>
    <ns0:p>
      <ns0:r>
        <ns0:t>考核方法：</ns0:t>
      </ns0:r>
    </ns0:p>
    <ns0:p>
      <ns0:r>
        <ns0:t>本项目数据集采用“两种数量表述方法”并行说明：一是按拍摄得到的原图数量统计，二是按算法实际输入的切片数量统计。整体数据集共 247 张原图，对应 10621 个切片和 112929 个标注缺陷框，其中 scratch 75995 个、spot 19997 个、critical 16937 个。从中划出留出测试数据集 20 张原图、860 个切片、8321 个标注缺陷框后，当前训练验证数据集为 227 张原图、9761 个切片、104608 个标注缺陷框，其中 scratch 70424 个、spot 18506 个、critical 15678 个。本次考核时，量化指标在留出测试数据集上计算；该留出测试数据集包含 20 张原图、860 个 640×640 切片、8321 个标注缺陷框，其中 scratch 5571 个、spot 1491 个、critical 1259 个。</ns0:t>
      </ns0:r>
    </ns0:p>
    <ns0:p>
      <ns0:r>
        <ns0:t>指标计算方法：</ns0:t>
      </ns0:r>
    </ns0:p>
    <ns0:p>
      <ns0:r>
        <ns0:t>1）数据集口径说明：整体数据集共 247 张原图、10621 个切片、112929 个标注缺陷框；其中训练验证数据集为 227 张原图、9761 个切片、104608 个标注缺陷框；留出测试数据集为 20 张原图、860 个切片、8321 个标注缺陷框。</ns0:t>
        <ns0:br/>
        <ns0:t>2）类别分布：整体数据集 scratch 75995 个、spot 19997 个、critical 16937 个；训练验证数据集 scratch 70424 个、spot 18506 个、critical 15678 个；留出测试数据集 scratch 5571 个、spot 1491 个、critical 1259 个。</ns0:t>
        <ns0:br/>
        <ns0:t>3）留出测试数据集来源：cnas_test/manifests/test_set_v1.json，共 20 张独立原图，覆盖轻/中/重/极重损伤等级，未参与训练或参数选择。</ns0:t>
        <ns0:br/>
        <ns0:t>4）切片收集：依据图像 stem 从 output/tile_dataset/images/val/ 中收集对应 860 个 640×640 切片，并读取 output/tile_dataset/labels/val/ 中标注框。</ns0:t>
        <ns0:br/>
        <ns0:t>5）模型推理：加载当前最优智能磨损识别模型，对全部测试切片逐张推理，输出缺陷类别、预测框位置和置信度分值。</ns0:t>
        <ns0:br/>
        <ns0:t>6）样本匹配：对每个类别分别将预测框与真实标注框进行匹配；当预测框与真实框的交并比 IoU ≥ 0.5 且类别一致时，记为真阳性 TP；未匹配预测记为假阳性 FP；未匹配真实框记为假阴性 FN。</ns0:t>
        <ns0:br/>
        <ns0:t>7）精确率与召回率：Precision = TP / (TP + FP)，Recall = TP / (TP + FN)。按置信度从高到低排序所有预测框，逐步计算 Precision-Recall 曲线。</ns0:t>
        <ns0:br/>
        <ns0:t>8）单类平均精度：某一类别的 AP@0.5 为其 Precision-Recall 曲线下的面积，分别记为 AP50_scratch、AP50_spot、AP50_critical。</ns0:t>
        <ns0:br/>
        <ns0:t>9）总体指标：mAP@0.5 = (AP50_scratch + AP50_spot + AP50_critical) / 3。</ns0:t>
        <ns0:br/>
        <ns0:t>10）判定规则：当 mAP@0.5 ≥ 0.60 时，判定“磨损识别准确率”达到中期指标要求。</ns0:t>
      </ns0:r>
    </ns0:p>
    <ns0:p>
      <ns0:pPr>
        <ns0:pStyle ns0:val="Heading2"/>
      </ns0:pPr>
      <ns0:r>
        <ns0:t>拟采取测试方案：</ns0:t>
      </ns0:r>
    </ns0:p>
    <ns0:p>
      <ns0:r>
        <ns0:t>测试员通过 RustDesk 远程登录服务器，在项目根目录执行标准化评测脚本 `uv run python -m cnas_test.runner.run_eval`。文档中统一采用“训练验证数据集”和“留出测试数据集”术语：训练验证数据集为 227 张原图、9761 个切片、104608 个标注缺陷框；留出测试数据集为 20 张原图、860 个切片、8321 个标注缺陷框。脚本自动完成测试集加载、切片收集、临时数据集配置构建、模型推理、指标汇总与 JSON 结果存档，最终以终端输出和结果文件共同作为测试依据。</ns0:t>
      </ns0:r>
    </ns0:p>
    <ns0:p>
      <ns0:r/>
    </ns0:p>
    <ns0:p>
      <ns0:r/>
    </ns0:p>
    <ns0:p>
      <ns0:r/>
    </ns0:p>
    <ns0:p>
      <ns0:pPr>
        <ns0:pStyle ns0:val="Heading1"/>
      </ns0:pPr>
      <ns0:r>
        <ns0:t>3 测试环境</ns0:t>
      </ns0:r>
    </ns0:p>
    <ns0:tbl>
      <ns0:tblPr>
        <ns0:tblStyle ns0:val="TableGrid"/>
        <ns0:tblW ns0:type="auto" ns0:w="0"/>
        <ns0:tblLook ns0:firstColumn="1" ns0:firstRow="1" ns0:lastColumn="0" ns0:lastRow="0" ns0:noHBand="0" ns0:noVBand="1" ns0:val="04A0"/>
      </ns0:tblPr>
      <ns0:tblGrid>
        <ns0:gridCol ns0:w="2882"/>
        <ns0:gridCol ns0:w="2882"/>
        <ns0:gridCol ns0:w="2882"/>
      </ns0:tblGrid>
      <ns0:tr>
        <ns0:tc>
          <ns0:tcPr>
            <ns0:tcW ns0:type="dxa" ns0:w="1587"/>
            <ns0:shd ns0:val="clear" ns0:color="auto" ns0:fill="D9E1F2"/>
          </ns0:tcPr>
          <ns0:p>
            <ns0:r>
              <ns0:rPr>
                <ns0:b/>
                <ns0:sz ns0:val="21"/>
              </ns0:rPr>
              <ns0:t>类别</ns0:t>
            </ns0:r>
          </ns0:p>
        </ns0:tc>
        <ns0:tc>
          <ns0:tcPr>
            <ns0:tcW ns0:type="dxa" ns0:w="2268"/>
            <ns0:shd ns0:val="clear" ns0:color="auto" ns0:fill="D9E1F2"/>
          </ns0:tcPr>
          <ns0:p>
            <ns0:r>
              <ns0:rPr>
                <ns0:b/>
                <ns0:sz ns0:val="21"/>
              </ns0:rPr>
              <ns0:t>项目</ns0:t>
            </ns0:r>
          </ns0:p>
        </ns0:tc>
        <ns0:tc>
          <ns0:tcPr>
            <ns0:tcW ns0:type="dxa" ns0:w="5102"/>
            <ns0:shd ns0:val="clear" ns0:color="auto" ns0:fill="D9E1F2"/>
          </ns0:tcPr>
          <ns0:p>
            <ns0:r>
              <ns0:rPr>
                <ns0:b/>
                <ns0:sz ns0:val="21"/>
              </ns0:rPr>
              <ns0:t>配置</ns0:t>
            </ns0:r>
          </ns0:p>
        </ns0:tc>
      </ns0:tr>
      <ns0:tr>
        <ns0:tc>
          <ns0:tcPr>
            <ns0:tcW ns0:type="dxa" ns0:w="1587"/>
          </ns0:tcPr>
          <ns0:p>
            <ns0:r>
              <ns0:rPr>
                <ns0:b ns0:val="0"/>
                <ns0:sz ns0:val="21"/>
              </ns0:rPr>
              <ns0:t>硬件配置</ns0:t>
            </ns0:r>
          </ns0:p>
        </ns0:tc>
        <ns0:tc>
          <ns0:tcPr>
            <ns0:tcW ns0:type="dxa" ns0:w="2268"/>
          </ns0:tcPr>
          <ns0:p>
            <ns0:r>
              <ns0:rPr>
                <ns0:b ns0:val="0"/>
                <ns0:sz ns0:val="21"/>
              </ns0:rPr>
              <ns0:t>内存</ns0:t>
            </ns0:r>
          </ns0:p>
        </ns0:tc>
        <ns0:tc>
          <ns0:tcPr>
            <ns0:tcW ns0:type="dxa" ns0:w="5102"/>
          </ns0:tcPr>
          <ns0:p>
            <ns0:r>
              <ns0:rPr>
                <ns0:b ns0:val="0"/>
                <ns0:sz ns0:val="21"/>
              </ns0:rPr>
              <ns0:t>DDR5 24 GB</ns0:t>
            </ns0:r>
          </ns0:p>
        </ns0:tc>
      </ns0:tr>
      <ns0:tr>
        <ns0:tc>
          <ns0:tcPr>
            <ns0:tcW ns0:type="dxa" ns0:w="1587"/>
          </ns0:tcPr>
          <ns0:p>
            <ns0:r>
              <ns0:rPr>
                <ns0:b ns0:val="0"/>
                <ns0:sz ns0:val="21"/>
              </ns0:rPr>
            </ns0:r>
          </ns0:p>
        </ns0:tc>
        <ns0:tc>
          <ns0:tcPr>
            <ns0:tcW ns0:type="dxa" ns0:w="2268"/>
          </ns0:tcPr>
          <ns0:p>
            <ns0:r>
              <ns0:rPr>
                <ns0:b ns0:val="0"/>
                <ns0:sz ns0:val="21"/>
              </ns0:rPr>
              <ns0:t>CPU</ns0:t>
            </ns0:r>
          </ns0:p>
        </ns0:tc>
        <ns0:tc>
          <ns0:tcPr>
            <ns0:tcW ns0:type="dxa" ns0:w="5102"/>
          </ns0:tcPr>
          <ns0:p>
            <ns0:r>
              <ns0:rPr>
                <ns0:b ns0:val="0"/>
                <ns0:sz ns0:val="21"/>
              </ns0:rPr>
              <ns0:t>Intel Core Ultra / AMD Ryzen 9</ns0:t>
            </ns0:r>
          </ns0:p>
        </ns0:tc>
      </ns0:tr>
      <ns0:tr>
        <ns0:tc>
          <ns0:tcPr>
            <ns0:tcW ns0:type="dxa" ns0:w="1587"/>
          </ns0:tcPr>
          <ns0:p>
            <ns0:r>
              <ns0:rPr>
                <ns0:b ns0:val="0"/>
                <ns0:sz ns0:val="21"/>
              </ns0:rPr>
            </ns0:r>
          </ns0:p>
        </ns0:tc>
        <ns0:tc>
          <ns0:tcPr>
            <ns0:tcW ns0:type="dxa" ns0:w="2268"/>
          </ns0:tcPr>
          <ns0:p>
            <ns0:r>
              <ns0:rPr>
                <ns0:b ns0:val="0"/>
                <ns0:sz ns0:val="21"/>
              </ns0:rPr>
              <ns0:t>GPU</ns0:t>
            </ns0:r>
          </ns0:p>
        </ns0:tc>
        <ns0:tc>
          <ns0:tcPr>
            <ns0:tcW ns0:type="dxa" ns0:w="5102"/>
          </ns0:tcPr>
          <ns0:p>
            <ns0:r>
              <ns0:rPr>
                <ns0:b ns0:val="0"/>
                <ns0:sz ns0:val="21"/>
              </ns0:rPr>
              <ns0:t>NVIDIA GeForce RTX 4090 D, 24 GB VRAM</ns0:t>
            </ns0:r>
          </ns0:p>
        </ns0:tc>
      </ns0:tr>
      <ns0:tr>
        <ns0:tc>
          <ns0:tcPr>
            <ns0:tcW ns0:type="dxa" ns0:w="1587"/>
          </ns0:tcPr>
          <ns0:p>
            <ns0:r>
              <ns0:rPr>
                <ns0:b ns0:val="0"/>
                <ns0:sz ns0:val="21"/>
              </ns0:rPr>
              <ns0:t>操作系统</ns0:t>
            </ns0:r>
          </ns0:p>
        </ns0:tc>
        <ns0:tc>
          <ns0:tcPr>
            <ns0:tcW ns0:type="dxa" ns0:w="2268"/>
          </ns0:tcPr>
          <ns0:p>
            <ns0:r>
              <ns0:rPr>
                <ns0:b ns0:val="0"/>
                <ns0:sz ns0:val="21"/>
              </ns0:rPr>
              <ns0:t>Linux</ns0:t>
            </ns0:r>
          </ns0:p>
        </ns0:tc>
        <ns0:tc>
          <ns0:tcPr>
            <ns0:tcW ns0:type="dxa" ns0:w="5102"/>
          </ns0:tcPr>
          <ns0:p>
            <ns0:r>
              <ns0:rPr>
                <ns0:b ns0:val="0"/>
                <ns0:sz ns0:val="21"/>
              </ns0:rPr>
              <ns0:t>Ubuntu 22.04 LTS / Debian 13</ns0:t>
            </ns0:r>
          </ns0:p>
        </ns0:tc>
      </ns0:tr>
      <ns0:tr>
        <ns0:tc>
          <ns0:tcPr>
            <ns0:tcW ns0:type="dxa" ns0:w="1587"/>
          </ns0:tcPr>
          <ns0:p>
            <ns0:r>
              <ns0:rPr>
                <ns0:b ns0:val="0"/>
                <ns0:sz ns0:val="21"/>
              </ns0:rPr>
              <ns0:t>软件配置</ns0:t>
            </ns0:r>
          </ns0:p>
        </ns0:tc>
        <ns0:tc>
          <ns0:tcPr>
            <ns0:tcW ns0:type="dxa" ns0:w="2268"/>
          </ns0:tcPr>
          <ns0:p>
            <ns0:r>
              <ns0:rPr>
                <ns0:b ns0:val="0"/>
                <ns0:sz ns0:val="21"/>
              </ns0:rPr>
              <ns0:t>Python</ns0:t>
            </ns0:r>
          </ns0:p>
        </ns0:tc>
        <ns0:tc>
          <ns0:tcPr>
            <ns0:tcW ns0:type="dxa" ns0:w="5102"/>
          </ns0:tcPr>
          <ns0:p>
            <ns0:r>
              <ns0:rPr>
                <ns0:b ns0:val="0"/>
                <ns0:sz ns0:val="21"/>
              </ns0:rPr>
              <ns0:t>Python 3.13.5</ns0:t>
            </ns0:r>
          </ns0:p>
        </ns0:tc>
      </ns0:tr>
      <ns0:tr>
        <ns0:tc>
          <ns0:tcPr>
            <ns0:tcW ns0:type="dxa" ns0:w="1587"/>
          </ns0:tcPr>
          <ns0:p>
            <ns0:r>
              <ns0:rPr>
                <ns0:b ns0:val="0"/>
                <ns0:sz ns0:val="21"/>
              </ns0:rPr>
            </ns0:r>
          </ns0:p>
        </ns0:tc>
        <ns0:tc>
          <ns0:tcPr>
            <ns0:tcW ns0:type="dxa" ns0:w="2268"/>
          </ns0:tcPr>
          <ns0:p>
            <ns0:r>
              <ns0:rPr>
                <ns0:b ns0:val="0"/>
                <ns0:sz ns0:val="21"/>
              </ns0:rPr>
              <ns0:t>深度学习框架</ns0:t>
            </ns0:r>
          </ns0:p>
        </ns0:tc>
        <ns0:tc>
          <ns0:tcPr>
            <ns0:tcW ns0:type="dxa" ns0:w="5102"/>
          </ns0:tcPr>
          <ns0:p>
            <ns0:r>
              <ns0:rPr>
                <ns0:b ns0:val="0"/>
                <ns0:sz ns0:val="21"/>
              </ns0:rPr>
              <ns0:t>PyTorch 2.10.0+cu128</ns0:t>
            </ns0:r>
          </ns0:p>
        </ns0:tc>
      </ns0:tr>
      <ns0:tr>
        <ns0:tc>
          <ns0:tcPr>
            <ns0:tcW ns0:type="dxa" ns0:w="1587"/>
          </ns0:tcPr>
          <ns0:p>
            <ns0:r>
              <ns0:rPr>
                <ns0:b ns0:val="0"/>
                <ns0:sz ns0:val="21"/>
              </ns0:rPr>
            </ns0:r>
          </ns0:p>
        </ns0:tc>
        <ns0:tc>
          <ns0:tcPr>
            <ns0:tcW ns0:type="dxa" ns0:w="2268"/>
          </ns0:tcPr>
          <ns0:p>
            <ns0:r>
              <ns0:t>模型运行环境</ns0:t>
            </ns0:r>
          </ns0:p>
        </ns0:tc>
        <ns0:tc>
          <ns0:tcPr>
            <ns0:tcW ns0:type="dxa" ns0:w="5102"/>
          </ns0:tcPr>
          <ns0:p>
            <ns0:r>
              <ns0:t>智能磨损识别模型运行环境</ns0:t>
            </ns0:r>
          </ns0:p>
        </ns0:tc>
      </ns0:tr>
      <ns0:tr>
        <ns0:tc>
          <ns0:tcPr>
            <ns0:tcW ns0:type="dxa" ns0:w="1587"/>
          </ns0:tcPr>
          <ns0:p>
            <ns0:r>
              <ns0:rPr>
                <ns0:b ns0:val="0"/>
                <ns0:sz ns0:val="21"/>
              </ns0:rPr>
            </ns0:r>
          </ns0:p>
        </ns0:tc>
        <ns0:tc>
          <ns0:tcPr>
            <ns0:tcW ns0:type="dxa" ns0:w="2268"/>
          </ns0:tcPr>
          <ns0:p>
            <ns0:r>
              <ns0:rPr>
                <ns0:b ns0:val="0"/>
                <ns0:sz ns0:val="21"/>
              </ns0:rPr>
              <ns0:t>远程接入</ns0:t>
            </ns0:r>
          </ns0:p>
        </ns0:tc>
        <ns0:tc>
          <ns0:tcPr>
            <ns0:tcW ns0:type="dxa" ns0:w="5102"/>
          </ns0:tcPr>
          <ns0:p>
            <ns0:r>
              <ns0:rPr>
                <ns0:b ns0:val="0"/>
                <ns0:sz ns0:val="21"/>
              </ns0:rPr>
              <ns0:t>RustDesk（第三方测试员远程操作）</ns0:t>
            </ns0:r>
          </ns0:p>
        </ns0:tc>
      </ns0:tr>
    </ns0:tbl>
    <ns0:p/>
    <ns0:p>
      <ns0:r>
        <ns0:t>测试采用 RustDesk 远程登录方式，测试员在远程端操作本地服务器，运行测试脚本并实时查看输出结果。测试过程全程录屏存档。</ns0:t>
      </ns0:r>
    </ns0:p>
    <ns0:p>
      <ns0:pPr>
        <ns0:pStyle ns0:val="Heading1"/>
      </ns0:pPr>
      <ns0:r>
        <ns0:t>4 测试方案</ns0:t>
      </ns0:r>
    </ns0:p>
    <ns0:p>
      <ns0:r>
        <ns0:t>现场测试。测试员通过 RustDesk 远程登录服务器，在 `/home/bm/Dev/Microlens_DF` 下执行 `uv run python -m cnas_test.runner.run_eval`。测试前先确认数据集口径：整体数据集为 247 张原图、10621 个切片、112929 个标注缺陷框；训练验证数据集为 227 张原图、9761 个切片、104608 个标注缺陷框；留出测试数据集为 20 张原图、860 个切片、8321 个标注缺陷框。脚本随后从 `test_set_v1.json` 读取留出测试数据集，收集对应切片与真实标注，执行批量推理与匹配统计，计算各类别 AP@0.5 和 mAP@0.5，并保存 `cnas_test/outputs/latest/metrics/cnas_eval_results.json`。</ns0:t>
      </ns0:r>
    </ns0:p>
    <ns0:p>
      <ns0:r/>
    </ns0:p>
    <ns0:p>
      <ns0:pPr>
        <ns0:pStyle ns0:val="Heading1"/>
      </ns0:pPr>
      <ns0:r>
        <ns0:t>5 测试用例</ns0:t>
      </ns0:r>
    </ns0:p>
    <ns0:p>
      <ns0:r>
        <ns0:t>测试用例：磨损识别准确率量化评估</ns0:t>
      </ns0:r>
    </ns0:p>
    <ns0:p/>
    <ns0:p>
      <ns0:r/>
    </ns0:p>
    <ns0:tbl>
      <ns0:tblPr>
        <ns0:tblStyle ns0:val="TableGrid"/>
        <ns0:tblW ns0:type="auto" ns0:w="0"/>
        <ns0:tblLook ns0:firstColumn="1" ns0:firstRow="1" ns0:lastColumn="0" ns0:lastRow="0" ns0:noHBand="0" ns0:noVBand="1" ns0:val="04A0"/>
      </ns0:tblPr>
      <ns0:tblGrid>
        <ns0:gridCol ns0:w="1984"/>
        <ns0:gridCol ns0:w="7087"/>
      </ns0:tblGrid>
      <ns0:tr>
        <ns0:tc>
          <ns0:tcPr>
            <ns0:tcW ns0:type="dxa" ns0:w="4323"/>
            <ns0:shd ns0:val="clear" ns0:color="auto" ns0:fill="D9E1F2"/>
          </ns0:tcPr>
          <ns0:p>
            <ns0:r>
              <ns0:rPr>
                <ns0:b/>
                <ns0:sz ns0:val="21"/>
              </ns0:rPr>
              <ns0:t>用例名称</ns0:t>
            </ns0:r>
          </ns0:p>
        </ns0:tc>
        <ns0:tc>
          <ns0:tcPr>
            <ns0:tcW ns0:type="dxa" ns0:w="4323"/>
          </ns0:tcPr>
          <ns0:p>
            <ns0:r>
              <ns0:t>磨损识别准确率量化评估</ns0:t>
            </ns0:r>
          </ns0:p>
        </ns0:tc>
      </ns0:tr>
      <ns0:tr>
        <ns0:tc>
          <ns0:tcPr>
            <ns0:tcW ns0:type="dxa" ns0:w="4323"/>
            <ns0:shd ns0:val="clear" ns0:color="auto" ns0:fill="D9E1F2"/>
          </ns0:tcPr>
          <ns0:p>
            <ns0:r>
              <ns0:rPr>
                <ns0:b/>
                <ns0:sz ns0:val="21"/>
              </ns0:rPr>
              <ns0:t>测试目标</ns0:t>
            </ns0:r>
          </ns0:p>
        </ns0:tc>
        <ns0:tc>
          <ns0:tcPr>
            <ns0:tcW ns0:type="dxa" ns0:w="4323"/>
          </ns0:tcPr>
          <ns0:p>
            <ns0:r>
              <ns0:t>系统在留出测试数据集（20 张原图，860 个切片，8321 个标注缺陷框）上的磨损识别准确率中期指标达到 60%，并在文档中明确区分整体数据集、训练验证数据集与留出测试数据集三者的数量口径。</ns0:t>
            </ns0:r>
          </ns0:p>
        </ns0:tc>
      </ns0:tr>
      <ns0:tr>
        <ns0:tc>
          <ns0:tcPr>
            <ns0:tcW ns0:type="dxa" ns0:w="4323"/>
            <ns0:shd ns0:val="clear" ns0:color="auto" ns0:fill="D9E1F2"/>
          </ns0:tcPr>
          <ns0:p>
            <ns0:r>
              <ns0:rPr>
                <ns0:b/>
                <ns0:sz ns0:val="21"/>
              </ns0:rPr>
              <ns0:t>前置条件</ns0:t>
            </ns0:r>
          </ns0:p>
        </ns0:tc>
        <ns0:tc>
          <ns0:tcPr>
            <ns0:tcW ns0:type="dxa" ns0:w="4323"/>
          </ns0:tcPr>
          <ns0:p>
            <ns0:r>
              <ns0:t>系统正常运行。整体数据集共 247 张原图、10621 个切片、112929 个标注缺陷框；其中训练验证数据集为 227 张原图、9761 个切片、104608 个标注缺陷框，留出测试数据集为 20 张原图、860 个切片、8321 个标注缺陷框。类别分布分别为：训练验证数据集 scratch 70424、spot 18506、critical 15678；留出测试数据集 scratch 5571、spot 1491、critical 1259。</ns0:t>
            </ns0:r>
          </ns0:p>
        </ns0:tc>
      </ns0:tr>
      <ns0:tr>
        <ns0:tc>
          <ns0:tcPr>
            <ns0:tcW ns0:type="dxa" ns0:w="4323"/>
            <ns0:shd ns0:val="clear" ns0:color="auto" ns0:fill="D9E1F2"/>
          </ns0:tcPr>
          <ns0:p>
            <ns0:r>
              <ns0:rPr>
                <ns0:b/>
                <ns0:sz ns0:val="21"/>
              </ns0:rPr>
              <ns0:t>测试步骤</ns0:t>
            </ns0:r>
          </ns0:p>
        </ns0:tc>
        <ns0:tc>
          <ns0:tcPr>
            <ns0:tcW ns0:type="dxa" ns0:w="4323"/>
          </ns0:tcPr>
          <ns0:p>
            <ns0:r>
              <ns0:t>1. RustDesk 远程登录服务器2. 进入项目目录：cd /home/bm/Dev/Microlens_DF3. 核对整体数据集、训练验证数据集、留出测试数据集三层口径，以及原图数量口径与切片数量口径4. 确认整体数据集为 247 张原图、10621 个切片、112929 个缺陷框；训练验证数据集为 227 张原图、9761 个切片、104608 个缺陷框；留出测试数据集为 20 张原图、860 个切片、8321 个缺陷框5. 执行评测脚本：uv run python -m cnas_test.runner.run_eval6. 脚本自动读取 test_set_v1.json，收集 860 个测试切片并生成临时数据集配置7. 对测试切片执行批量推理，得到预测类别、预测框和置信度8. 依据 IoU≥0.5 和类别一致原则统计 TP、FP、FN，并分别计算三类 AP@0.59. 计算 mAP@0.5 = (AP50_scratch + AP50_spot + AP50_critical) / 310. 读取终端输出与 cnas_test/outputs/latest/metrics/cnas_eval_results.json 中的最终结果</ns0:t>
            </ns0:r>
          </ns0:p>
        </ns0:tc>
      </ns0:tr>
      <ns0:tr>
        <ns0:tc>
          <ns0:tcPr>
            <ns0:tcW ns0:type="dxa" ns0:w="4323"/>
            <ns0:shd ns0:val="clear" ns0:color="auto" ns0:fill="D9E1F2"/>
          </ns0:tcPr>
          <ns0:p>
            <ns0:r>
              <ns0:rPr>
                <ns0:b/>
                <ns0:sz ns0:val="21"/>
              </ns0:rPr>
              <ns0:t>预期结果</ns0:t>
            </ns0:r>
          </ns0:p>
        </ns0:tc>
        <ns0:tc>
          <ns0:tcPr>
            <ns0:tcW ns0:type="dxa" ns0:w="4323"/>
          </ns0:tcPr>
          <ns0:p>
            <ns0:r>
              <ns0:t>mAP@0.5 ≥ 0.60。</ns0:t>
              <ns0:br/>
              <ns0:t>参考内部预评估结果：scratch AP@0.5 = 0.4525，spot AP@0.5 = 0.8180，critical AP@0.5 = 0.7589，mAP@0.5 = 0.6765。</ns0:t>
            </ns0:r>
          </ns0:p>
        </ns0:tc>
      </ns0:tr>
    </ns0:tbl>
    <ns0:sectPr ns0:rsidR="00FC693F" ns0:rsidRPr="0006063C" ns0:rsidSect="00034616">
      <ns0:pgSz ns0:w="12240" ns0:h="15840"/>
      <ns0:pgMar ns0:top="1440" ns0:right="1797" ns0:bottom="1440" ns0:left="1797"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