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Масштабирование A4 / A5</w:t>
      </w:r>
    </w:p>
    <w:p>
      <w:pPr>
        <w:pStyle w:val="Heading1"/>
      </w:pPr>
      <w:r>
        <w:t>Рисунки и таблицы</w:t>
      </w:r>
    </w:p>
    <w:p>
      <w:pPr>
        <w:ind w:firstLine="567"/>
      </w:pPr>
      <w:r>
        <w:t xml:space="preserve">Абзац с красной строкой демонстрирует сохранение структуры Абзац с красной строкой демонстрирует сохранение структуры Абзац с красной строкой демонстрирует сохранение структуры </w:t>
      </w:r>
    </w:p>
    <w:p>
      <w:r>
        <w:drawing>
          <wp:anchor xmlns:a="http://schemas.openxmlformats.org/drawingml/2006/main" xmlns:pic="http://schemas.openxmlformats.org/drawingml/2006/picture" distT="72000" distB="72000" distL="72000" distR="72000" simplePos="0" relativeHeight="2" behindDoc="0" locked="0" layoutInCell="1" allowOverlap="0">
            <wp:simplePos x="0" y="0"/>
            <wp:positionH relativeFrom="margin">
              <wp:align>right</wp:align>
            </wp:positionH>
            <wp:positionV relativeFrom="paragraph">
              <wp:posOffset>144000</wp:posOffset>
            </wp:positionV>
            <wp:wrapSquare wrapText="bothSides"/>
            <wp:extent cx="1368000" cy="6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720000">
                      <a:off x="0" y="0"/>
                      <a:ext cx="1368000" cy="68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 xml:space="preserve">Текст рядом с маленьким рисунком. Текст рядом с маленьким рисунком. Текст рядом с маленьким рисунком. Текст рядом с маленьким рисунком. Текст рядом с маленьким рисунком. </w:t>
      </w:r>
    </w:p>
    <w:p>
      <w:r>
        <w:drawing>
          <wp:anchor xmlns:a="http://schemas.openxmlformats.org/drawingml/2006/main" xmlns:pic="http://schemas.openxmlformats.org/drawingml/2006/picture" distT="72000" distB="72000" distL="72000" distR="72000" simplePos="0" relativeHeight="2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288000</wp:posOffset>
            </wp:positionV>
            <wp:wrapSquare wrapText="bothSides"/>
            <wp:extent cx="4140000" cy="181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811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 xml:space="preserve">Заполнение перед таблицей. Заполнение перед таблицей. Заполнение перед таблицей. Заполнение перед таблицей. Заполнение перед таблицей. Заполнение перед таблицей. Заполнение перед таблицей. </w:t>
      </w:r>
    </w:p>
    <w:p>
      <w:r>
        <w:t xml:space="preserve">Заполнение перед таблицей. Заполнение перед таблицей. Заполнение перед таблицей. Заполнение перед таблицей. Заполнение перед таблицей. Заполнение перед таблицей. Заполнение перед таблицей. </w:t>
      </w:r>
    </w:p>
    <w:p>
      <w:r>
        <w:t xml:space="preserve">Заполнение перед таблицей. Заполнение перед таблицей. Заполнение перед таблицей. Заполнение перед таблицей. Заполнение перед таблицей. Заполнение перед таблицей. Заполнение перед таблицей.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082"/>
        <w:gridCol w:w="2041"/>
      </w:tblGrid>
      <w:tr>
        <w:trPr>
          <w:tblHeader w:val="true"/>
        </w:trPr>
        <w:tc>
          <w:tcPr>
            <w:tcW w:type="dxa" w:w="1361"/>
            <w:vAlign w:val="center"/>
          </w:tcPr>
          <w:p>
            <w:r>
              <w:t>№</w:t>
            </w:r>
          </w:p>
        </w:tc>
        <w:tc>
          <w:tcPr>
            <w:tcW w:type="dxa" w:w="4082"/>
            <w:vAlign w:val="center"/>
          </w:tcPr>
          <w:p>
            <w:r>
              <w:t>Результат</w:t>
            </w:r>
          </w:p>
        </w:tc>
        <w:tc>
          <w:tcPr>
            <w:tcW w:type="dxa" w:w="2041"/>
            <w:vAlign w:val="center"/>
          </w:tcPr>
          <w:p>
            <w:r>
              <w:t>Единицы</w:t>
            </w:r>
          </w:p>
        </w:tc>
      </w:tr>
      <w:tr>
        <w:tc>
          <w:tcPr>
            <w:tcW w:type="dxa" w:w="1361"/>
          </w:tcPr>
          <w:p>
            <w:r>
              <w:t>1</w:t>
            </w:r>
          </w:p>
        </w:tc>
        <w:tc>
          <w:tcPr>
            <w:tcW w:type="dxa" w:w="6123"/>
            <w:gridSpan w:val="2"/>
          </w:tcPr>
          <w:p>
            <w:r>
              <w:t>Горизонтальное объединение</w:t>
            </w:r>
          </w:p>
        </w:tc>
      </w:tr>
      <w:tr>
        <w:tc>
          <w:tcPr>
            <w:tcW w:type="dxa" w:w="1361"/>
            <w:vMerge w:val="restart"/>
          </w:tcPr>
          <w:p>
            <w:r>
              <w:t>2–3</w:t>
            </w:r>
          </w:p>
        </w:tc>
        <w:tc>
          <w:tcPr>
            <w:tcW w:type="dxa" w:w="4082"/>
          </w:tcPr>
          <w:p>
            <w:r>
              <w:t xml:space="preserve">Длинный текст в ячейке, который должен переноситься </w:t>
            </w:r>
          </w:p>
        </w:tc>
        <w:tc>
          <w:tcPr>
            <w:tcW w:type="dxa" w:w="2041"/>
          </w:tcPr>
          <w:p>
            <w:r>
              <w:t>мм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4082"/>
          </w:tcPr>
          <w:p>
            <w:r>
              <w:t xml:space="preserve">Длинный текст в ячейке, который должен переноситься </w:t>
            </w:r>
          </w:p>
        </w:tc>
        <w:tc>
          <w:tcPr>
            <w:tcW w:type="dxa" w:w="2041"/>
          </w:tcPr>
          <w:p>
            <w:r>
              <w:t>мм</w:t>
            </w:r>
          </w:p>
        </w:tc>
      </w:tr>
      <w:tr>
        <w:tc>
          <w:tcPr>
            <w:tcW w:type="dxa" w:w="1361"/>
          </w:tcPr>
          <w:p>
            <w:r>
              <w:t>4</w:t>
            </w:r>
          </w:p>
        </w:tc>
        <w:tc>
          <w:tcPr>
            <w:tcW w:type="dxa" w:w="4082"/>
            <w:vAlign w:val="bottom"/>
          </w:tcPr>
          <w:p>
            <w:r>
              <w:t xml:space="preserve">Длинный текст в ячейке, который должен переноситься Длинный текст в ячейке, который должен переноситься Длинный текст в ячейке, который должен переноситься </w:t>
            </w:r>
          </w:p>
        </w:tc>
        <w:tc>
          <w:tcPr>
            <w:tcW w:type="dxa" w:w="2041"/>
          </w:tcPr>
          <w:p>
            <w:r>
              <w:t>мм</w:t>
            </w:r>
          </w:p>
        </w:tc>
      </w:tr>
      <w:tr>
        <w:trPr>
          <w:trHeight w:val="720"/>
        </w:trPr>
        <w:tc>
          <w:tcPr>
            <w:tcW w:type="dxa" w:w="1361"/>
          </w:tcPr>
          <w:p>
            <w:r>
              <w:t>5</w:t>
            </w:r>
          </w:p>
        </w:tc>
        <w:tc>
          <w:tcPr>
            <w:tcW w:type="dxa" w:w="4082"/>
          </w:tcPr>
          <w:p>
            <w:r>
              <w:t xml:space="preserve">Длинный текст в ячейке, который должен переноситься </w:t>
            </w:r>
          </w:p>
        </w:tc>
        <w:tc>
          <w:tcPr>
            <w:tcW w:type="dxa" w:w="2041"/>
          </w:tcPr>
          <w:p>
            <w:r>
              <w:t>мм</w:t>
            </w:r>
          </w:p>
        </w:tc>
      </w:tr>
      <w:tr>
        <w:tc>
          <w:tcPr>
            <w:tcW w:type="dxa" w:w="1361"/>
          </w:tcPr>
          <w:p>
            <w:r>
              <w:t>6</w:t>
            </w:r>
          </w:p>
        </w:tc>
        <w:tc>
          <w:tcPr>
            <w:tcW w:type="dxa" w:w="4082"/>
          </w:tcPr>
          <w:p>
            <w:r>
              <w:t xml:space="preserve">Длинный текст в ячейке, который должен переноситься </w:t>
            </w:r>
          </w:p>
        </w:tc>
        <w:tc>
          <w:tcPr>
            <w:tcW w:type="dxa" w:w="2041"/>
          </w:tcPr>
          <w:p>
            <w:r>
              <w:t>мм</w:t>
            </w:r>
          </w:p>
        </w:tc>
      </w:tr>
    </w:tbl>
    <w:p>
      <w:r>
        <w:t xml:space="preserve">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</w:t>
      </w:r>
    </w:p>
    <w:p>
      <w:r>
        <w:t xml:space="preserve">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</w:t>
      </w:r>
    </w:p>
    <w:p>
      <w:r>
        <w:t xml:space="preserve">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</w:t>
      </w:r>
    </w:p>
    <w:p>
      <w:r>
        <w:t xml:space="preserve">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</w:t>
      </w:r>
    </w:p>
    <w:p>
      <w:r>
        <w:t xml:space="preserve">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</w:t>
      </w:r>
    </w:p>
    <w:p>
      <w:r>
        <w:t xml:space="preserve">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</w:t>
      </w:r>
    </w:p>
    <w:p>
      <w:r>
        <w:t xml:space="preserve">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Текст после таблицы для проверки многостраничности. 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