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8622B"/>
          <w:sz w:val="20"/>
          <w:szCs w:val="20"/>
        </w:rPr>
        <w:t xml:space="preserve">HONO.ai</w:t>
      </w:r>
      <w:r>
        <w:rPr>
          <w:color w:val="5F6D92"/>
          <w:sz w:val="18"/>
          <w:szCs w:val="18"/>
        </w:rPr>
        <w:t xml:space="preserve">  ·  Job Description</w:t>
      </w:r>
    </w:p>
    <w:p>
      <w:pPr>
        <w:spacing w:after="120"/>
      </w:pPr>
      <w:r>
        <w:rPr>
          <w:b/>
          <w:bCs/>
          <w:color w:val="1F2A44"/>
          <w:sz w:val="40"/>
          <w:szCs w:val="40"/>
        </w:rPr>
        <w:t xml:space="preserve">Customer Success Manager</w:t>
      </w:r>
    </w:p>
    <w:tbl>
      <w:tblPr>
        <w:tblW w:type="dxa" w:w="9360"/>
        <w:tblBorders>
          <w:top w:val="single" w:color="D9DEEA" w:sz="4"/>
          <w:left w:val="single" w:color="D9DEEA" w:sz="4"/>
          <w:bottom w:val="single" w:color="D9DEEA" w:sz="4"/>
          <w:right w:val="single" w:color="D9DEEA" w:sz="4"/>
          <w:insideH w:val="single" w:color="D9DEEA" w:sz="4"/>
          <w:insideV w:val="single" w:color="D9DEEA" w:sz="4"/>
        </w:tblBorders>
      </w:tblPr>
      <w:tblGrid>
        <w:gridCol w:w="2700"/>
        <w:gridCol w:w="6660"/>
      </w:tblGrid>
      <w:tr>
        <w:tc>
          <w:tcPr>
            <w:tcW w:type="dxa" w:w="2700"/>
            <w:shd w:fill="F4F6FB" w:val="clear"/>
            <w:tcMar>
              <w:top w:type="dxa" w:w="60"/>
              <w:left w:type="dxa" w:w="120"/>
              <w:bottom w:type="dxa" w:w="60"/>
              <w:right w:type="dxa" w:w="120"/>
            </w:tcMar>
          </w:tcPr>
          <w:p>
            <w:r>
              <w:rPr>
                <w:b/>
                <w:bCs/>
                <w:color w:val="1F2A44"/>
                <w:sz w:val="19"/>
                <w:szCs w:val="19"/>
              </w:rPr>
              <w:t xml:space="preserve">Role</w:t>
            </w:r>
          </w:p>
        </w:tc>
        <w:tc>
          <w:tcPr>
            <w:tcW w:type="dxa" w:w="6660"/>
            <w:tcMar>
              <w:top w:type="dxa" w:w="60"/>
              <w:left w:type="dxa" w:w="120"/>
              <w:bottom w:type="dxa" w:w="60"/>
              <w:right w:type="dxa" w:w="120"/>
            </w:tcMar>
          </w:tcPr>
          <w:p>
            <w:r>
              <w:rPr>
                <w:color w:val="1F2A44"/>
                <w:sz w:val="19"/>
                <w:szCs w:val="19"/>
              </w:rPr>
              <w:t xml:space="preserve">Customer Success</w:t>
            </w:r>
          </w:p>
        </w:tc>
      </w:tr>
      <w:tr>
        <w:tc>
          <w:tcPr>
            <w:tcW w:type="dxa" w:w="2700"/>
            <w:shd w:fill="F4F6FB" w:val="clear"/>
            <w:tcMar>
              <w:top w:type="dxa" w:w="60"/>
              <w:left w:type="dxa" w:w="120"/>
              <w:bottom w:type="dxa" w:w="60"/>
              <w:right w:type="dxa" w:w="120"/>
            </w:tcMar>
          </w:tcPr>
          <w:p>
            <w:r>
              <w:rPr>
                <w:b/>
                <w:bCs/>
                <w:color w:val="1F2A44"/>
                <w:sz w:val="19"/>
                <w:szCs w:val="19"/>
              </w:rPr>
              <w:t xml:space="preserve">Experience</w:t>
            </w:r>
          </w:p>
        </w:tc>
        <w:tc>
          <w:tcPr>
            <w:tcW w:type="dxa" w:w="6660"/>
            <w:tcMar>
              <w:top w:type="dxa" w:w="60"/>
              <w:left w:type="dxa" w:w="120"/>
              <w:bottom w:type="dxa" w:w="60"/>
              <w:right w:type="dxa" w:w="120"/>
            </w:tcMar>
          </w:tcPr>
          <w:p>
            <w:r>
              <w:rPr>
                <w:color w:val="1F2A44"/>
                <w:sz w:val="19"/>
                <w:szCs w:val="19"/>
              </w:rPr>
              <w:t xml:space="preserve">7+ years</w:t>
            </w:r>
          </w:p>
        </w:tc>
      </w:tr>
      <w:tr>
        <w:tc>
          <w:tcPr>
            <w:tcW w:type="dxa" w:w="2700"/>
            <w:shd w:fill="F4F6FB" w:val="clear"/>
            <w:tcMar>
              <w:top w:type="dxa" w:w="60"/>
              <w:left w:type="dxa" w:w="120"/>
              <w:bottom w:type="dxa" w:w="60"/>
              <w:right w:type="dxa" w:w="120"/>
            </w:tcMar>
          </w:tcPr>
          <w:p>
            <w:r>
              <w:rPr>
                <w:b/>
                <w:bCs/>
                <w:color w:val="1F2A44"/>
                <w:sz w:val="19"/>
                <w:szCs w:val="19"/>
              </w:rPr>
              <w:t xml:space="preserve">Location</w:t>
            </w:r>
          </w:p>
        </w:tc>
        <w:tc>
          <w:tcPr>
            <w:tcW w:type="dxa" w:w="6660"/>
            <w:tcMar>
              <w:top w:type="dxa" w:w="60"/>
              <w:left w:type="dxa" w:w="120"/>
              <w:bottom w:type="dxa" w:w="60"/>
              <w:right w:type="dxa" w:w="120"/>
            </w:tcMar>
          </w:tcPr>
          <w:p>
            <w:r>
              <w:rPr>
                <w:color w:val="1F2A44"/>
                <w:sz w:val="19"/>
                <w:szCs w:val="19"/>
              </w:rPr>
              <w:t xml:space="preserve">Southeast Asia (per opening)</w:t>
            </w:r>
          </w:p>
        </w:tc>
      </w:tr>
      <w:tr>
        <w:tc>
          <w:tcPr>
            <w:tcW w:type="dxa" w:w="2700"/>
            <w:shd w:fill="F4F6FB" w:val="clear"/>
            <w:tcMar>
              <w:top w:type="dxa" w:w="60"/>
              <w:left w:type="dxa" w:w="120"/>
              <w:bottom w:type="dxa" w:w="60"/>
              <w:right w:type="dxa" w:w="120"/>
            </w:tcMar>
          </w:tcPr>
          <w:p>
            <w:r>
              <w:rPr>
                <w:b/>
                <w:bCs/>
                <w:color w:val="1F2A44"/>
                <w:sz w:val="19"/>
                <w:szCs w:val="19"/>
              </w:rPr>
              <w:t xml:space="preserve">Reports to</w:t>
            </w:r>
          </w:p>
        </w:tc>
        <w:tc>
          <w:tcPr>
            <w:tcW w:type="dxa" w:w="6660"/>
            <w:tcMar>
              <w:top w:type="dxa" w:w="60"/>
              <w:left w:type="dxa" w:w="120"/>
              <w:bottom w:type="dxa" w:w="60"/>
              <w:right w:type="dxa" w:w="120"/>
            </w:tcMar>
          </w:tcPr>
          <w:p>
            <w:r>
              <w:rPr>
                <w:color w:val="1F2A44"/>
                <w:sz w:val="19"/>
                <w:szCs w:val="19"/>
              </w:rPr>
              <w:t xml:space="preserve">Operations Head</w:t>
            </w:r>
          </w:p>
        </w:tc>
      </w:tr>
      <w:tr>
        <w:tc>
          <w:tcPr>
            <w:tcW w:type="dxa" w:w="2700"/>
            <w:shd w:fill="F4F6FB" w:val="clear"/>
            <w:tcMar>
              <w:top w:type="dxa" w:w="60"/>
              <w:left w:type="dxa" w:w="120"/>
              <w:bottom w:type="dxa" w:w="60"/>
              <w:right w:type="dxa" w:w="120"/>
            </w:tcMar>
          </w:tcPr>
          <w:p>
            <w:r>
              <w:rPr>
                <w:b/>
                <w:bCs/>
                <w:color w:val="1F2A44"/>
                <w:sz w:val="19"/>
                <w:szCs w:val="19"/>
              </w:rPr>
              <w:t xml:space="preserve">Compensation</w:t>
            </w:r>
          </w:p>
        </w:tc>
        <w:tc>
          <w:tcPr>
            <w:tcW w:type="dxa" w:w="6660"/>
            <w:tcMar>
              <w:top w:type="dxa" w:w="60"/>
              <w:left w:type="dxa" w:w="120"/>
              <w:bottom w:type="dxa" w:w="60"/>
              <w:right w:type="dxa" w:w="120"/>
            </w:tcMar>
          </w:tcPr>
          <w:p>
            <w:r>
              <w:rPr>
                <w:color w:val="1F2A44"/>
                <w:sz w:val="19"/>
                <w:szCs w:val="19"/>
              </w:rPr>
              <w:t xml:space="preserve">As per industry norms</w:t>
            </w:r>
          </w:p>
        </w:tc>
      </w:tr>
    </w:tbl>
    <w:p>
      <w:pPr>
        <w:pBdr>
          <w:bottom w:val="single" w:color="E8622B" w:sz="6" w:space="4"/>
        </w:pBdr>
        <w:spacing w:after="80" w:before="240"/>
      </w:pPr>
      <w:r>
        <w:rPr>
          <w:b/>
          <w:bCs/>
          <w:color w:val="E8622B"/>
          <w:spacing w:val="20"/>
          <w:sz w:val="20"/>
          <w:szCs w:val="20"/>
        </w:rPr>
        <w:t xml:space="preserve">ABOUT HONO</w:t>
      </w:r>
    </w:p>
    <w:p>
      <w:pPr>
        <w:spacing w:after="120"/>
      </w:pPr>
      <w:r>
        <w:rPr>
          <w:i w:val="false"/>
          <w:iCs w:val="false"/>
          <w:color w:val="5F6D92"/>
          <w:sz w:val="20"/>
          <w:szCs w:val="20"/>
        </w:rPr>
        <w:t xml:space="preserve">HONO.ai is a premium HR-tech platform and suite of HR services built for the full range of enterprise people needs. HONO helps organisations nurture human relationships, empowers employees to realise their true potential, and attracts and retains the best talent through a host of innovative technologies — connecting people across cultures, teams and systems, and across multiple channels and platforms.</w:t>
      </w:r>
    </w:p>
    <w:p>
      <w:pPr>
        <w:pBdr>
          <w:bottom w:val="single" w:color="E8622B" w:sz="6" w:space="4"/>
        </w:pBdr>
        <w:spacing w:after="80" w:before="240"/>
      </w:pPr>
      <w:r>
        <w:rPr>
          <w:b/>
          <w:bCs/>
          <w:color w:val="E8622B"/>
          <w:spacing w:val="20"/>
          <w:sz w:val="20"/>
          <w:szCs w:val="20"/>
        </w:rPr>
        <w:t xml:space="preserve">ROLE SUMMARY</w:t>
      </w:r>
    </w:p>
    <w:p>
      <w:pPr>
        <w:spacing w:after="120"/>
      </w:pPr>
      <w:r>
        <w:rPr>
          <w:i w:val="false"/>
          <w:iCs w:val="false"/>
          <w:color w:val="1F2A44"/>
          <w:sz w:val="20"/>
          <w:szCs w:val="20"/>
        </w:rPr>
        <w:t xml:space="preserve">The Customer Success Manager oversees client support operations — managing and resolving service tickets efficiently, coordinating internal teams to troubleshoot issues, upholding SLAs, and building strong client relationships to elevate the overall support experience.</w:t>
      </w:r>
    </w:p>
    <w:p>
      <w:pPr>
        <w:pBdr>
          <w:bottom w:val="single" w:color="E8622B" w:sz="6" w:space="4"/>
        </w:pBdr>
        <w:spacing w:after="80" w:before="240"/>
      </w:pPr>
      <w:r>
        <w:rPr>
          <w:b/>
          <w:bCs/>
          <w:color w:val="E8622B"/>
          <w:spacing w:val="20"/>
          <w:sz w:val="20"/>
          <w:szCs w:val="20"/>
        </w:rPr>
        <w:t xml:space="preserve">KEY RESPONSIBILITIES</w:t>
      </w:r>
    </w:p>
    <w:p>
      <w:pPr>
        <w:pStyle w:val="ListParagraph"/>
        <w:numPr>
          <w:ilvl w:val="0"/>
          <w:numId w:val="2"/>
        </w:numPr>
        <w:spacing w:after="60"/>
      </w:pPr>
      <w:r>
        <w:rPr>
          <w:color w:val="1F2A44"/>
          <w:sz w:val="20"/>
          <w:szCs w:val="20"/>
        </w:rPr>
        <w:t xml:space="preserve">Analyse issues reported by business users on the help-desk ticketing system.</w:t>
      </w:r>
    </w:p>
    <w:p>
      <w:pPr>
        <w:pStyle w:val="ListParagraph"/>
        <w:numPr>
          <w:ilvl w:val="0"/>
          <w:numId w:val="2"/>
        </w:numPr>
        <w:spacing w:after="60"/>
      </w:pPr>
      <w:r>
        <w:rPr>
          <w:color w:val="1F2A44"/>
          <w:sz w:val="20"/>
          <w:szCs w:val="20"/>
        </w:rPr>
        <w:t xml:space="preserve">Engage users and the support team to understand and verify issues, building use cases to reproduce them in a test environment, drawing on the knowledge base, and responding within SLA.</w:t>
      </w:r>
    </w:p>
    <w:p>
      <w:pPr>
        <w:pStyle w:val="ListParagraph"/>
        <w:numPr>
          <w:ilvl w:val="0"/>
          <w:numId w:val="2"/>
        </w:numPr>
        <w:spacing w:after="60"/>
      </w:pPr>
      <w:r>
        <w:rPr>
          <w:color w:val="1F2A44"/>
          <w:sz w:val="20"/>
          <w:szCs w:val="20"/>
        </w:rPr>
        <w:t xml:space="preserve">For functional issues resolvable at L2/L3, notify users and resolve with full documentation in the support tool.</w:t>
      </w:r>
    </w:p>
    <w:p>
      <w:pPr>
        <w:pStyle w:val="ListParagraph"/>
        <w:numPr>
          <w:ilvl w:val="0"/>
          <w:numId w:val="2"/>
        </w:numPr>
        <w:spacing w:after="60"/>
      </w:pPr>
      <w:r>
        <w:rPr>
          <w:color w:val="1F2A44"/>
          <w:sz w:val="20"/>
          <w:szCs w:val="20"/>
        </w:rPr>
        <w:t xml:space="preserve">Own database-related support: data verification, data uploads, SQL queries, and stored procedures for complex issues.</w:t>
      </w:r>
    </w:p>
    <w:p>
      <w:pPr>
        <w:pStyle w:val="ListParagraph"/>
        <w:numPr>
          <w:ilvl w:val="0"/>
          <w:numId w:val="2"/>
        </w:numPr>
        <w:spacing w:after="60"/>
      </w:pPr>
      <w:r>
        <w:rPr>
          <w:color w:val="1F2A44"/>
          <w:sz w:val="20"/>
          <w:szCs w:val="20"/>
        </w:rPr>
        <w:t xml:space="preserve">Close tickets only after the user has verified the resolution.</w:t>
      </w:r>
    </w:p>
    <w:p>
      <w:pPr>
        <w:pStyle w:val="ListParagraph"/>
        <w:numPr>
          <w:ilvl w:val="0"/>
          <w:numId w:val="2"/>
        </w:numPr>
        <w:spacing w:after="60"/>
      </w:pPr>
      <w:r>
        <w:rPr>
          <w:color w:val="1F2A44"/>
          <w:sz w:val="20"/>
          <w:szCs w:val="20"/>
        </w:rPr>
        <w:t xml:space="preserve">Lead Root Cause Analysis (RCA) and record observations in the knowledge-management tool.</w:t>
      </w:r>
    </w:p>
    <w:p>
      <w:pPr>
        <w:pStyle w:val="ListParagraph"/>
        <w:numPr>
          <w:ilvl w:val="0"/>
          <w:numId w:val="2"/>
        </w:numPr>
        <w:spacing w:after="60"/>
      </w:pPr>
      <w:r>
        <w:rPr>
          <w:color w:val="1F2A44"/>
          <w:sz w:val="20"/>
          <w:szCs w:val="20"/>
        </w:rPr>
        <w:t xml:space="preserve">Manage and coach the support team to consistently meet SLA and CSAT targets.</w:t>
      </w:r>
    </w:p>
    <w:p>
      <w:pPr>
        <w:pBdr>
          <w:bottom w:val="single" w:color="E8622B" w:sz="6" w:space="4"/>
        </w:pBdr>
        <w:spacing w:after="80" w:before="240"/>
      </w:pPr>
      <w:r>
        <w:rPr>
          <w:b/>
          <w:bCs/>
          <w:color w:val="E8622B"/>
          <w:spacing w:val="20"/>
          <w:sz w:val="20"/>
          <w:szCs w:val="20"/>
        </w:rPr>
        <w:t xml:space="preserve">EXPERIENCE</w:t>
      </w:r>
    </w:p>
    <w:p>
      <w:pPr>
        <w:pStyle w:val="ListParagraph"/>
        <w:numPr>
          <w:ilvl w:val="0"/>
          <w:numId w:val="2"/>
        </w:numPr>
        <w:spacing w:after="60"/>
      </w:pPr>
      <w:r>
        <w:rPr>
          <w:color w:val="1F2A44"/>
          <w:sz w:val="20"/>
          <w:szCs w:val="20"/>
        </w:rPr>
        <w:t xml:space="preserve">6+ years working with SQL queries.</w:t>
      </w:r>
    </w:p>
    <w:p>
      <w:pPr>
        <w:pStyle w:val="ListParagraph"/>
        <w:numPr>
          <w:ilvl w:val="0"/>
          <w:numId w:val="2"/>
        </w:numPr>
        <w:spacing w:after="60"/>
      </w:pPr>
      <w:r>
        <w:rPr>
          <w:color w:val="1F2A44"/>
          <w:sz w:val="20"/>
          <w:szCs w:val="20"/>
        </w:rPr>
        <w:t xml:space="preserve">Hands-on experience with ticketing tools (Jira, Zendesk, or similar).</w:t>
      </w:r>
    </w:p>
    <w:p>
      <w:pPr>
        <w:pStyle w:val="ListParagraph"/>
        <w:numPr>
          <w:ilvl w:val="0"/>
          <w:numId w:val="2"/>
        </w:numPr>
        <w:spacing w:after="60"/>
      </w:pPr>
      <w:r>
        <w:rPr>
          <w:color w:val="1F2A44"/>
          <w:sz w:val="20"/>
          <w:szCs w:val="20"/>
        </w:rPr>
        <w:t xml:space="preserve">Experience managing a team of 10+ across rotational shifts.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62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2026-07-25T08:38:07.254Z</dcterms:created>
  <dcterms:modified xsi:type="dcterms:W3CDTF">2026-07-25T08:38:07.254Z</dcterms:modified>
</cp:coreProperties>
</file>

<file path=docProps/custom.xml><?xml version="1.0" encoding="utf-8"?>
<Properties xmlns="http://schemas.openxmlformats.org/officeDocument/2006/custom-properties" xmlns:vt="http://schemas.openxmlformats.org/officeDocument/2006/docPropsVTypes"/>
</file>