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E8622B"/>
          <w:sz w:val="20"/>
          <w:szCs w:val="20"/>
        </w:rPr>
        <w:t xml:space="preserve">HONO.ai</w:t>
      </w:r>
      <w:r>
        <w:rPr>
          <w:color w:val="5F6D92"/>
          <w:sz w:val="18"/>
          <w:szCs w:val="18"/>
        </w:rPr>
        <w:t xml:space="preserve">  ·  Job Description</w:t>
      </w:r>
    </w:p>
    <w:p>
      <w:pPr>
        <w:spacing w:after="120"/>
      </w:pPr>
      <w:r>
        <w:rPr>
          <w:b/>
          <w:bCs/>
          <w:color w:val="1F2A44"/>
          <w:sz w:val="40"/>
          <w:szCs w:val="40"/>
        </w:rPr>
        <w:t xml:space="preserve">Implementation Head</w:t>
      </w:r>
    </w:p>
    <w:tbl>
      <w:tblPr>
        <w:tblW w:type="dxa" w:w="9360"/>
        <w:tblBorders>
          <w:top w:val="single" w:color="D9DEEA" w:sz="4"/>
          <w:left w:val="single" w:color="D9DEEA" w:sz="4"/>
          <w:bottom w:val="single" w:color="D9DEEA" w:sz="4"/>
          <w:right w:val="single" w:color="D9DEEA" w:sz="4"/>
          <w:insideH w:val="single" w:color="D9DEEA" w:sz="4"/>
          <w:insideV w:val="single" w:color="D9DEEA" w:sz="4"/>
        </w:tblBorders>
      </w:tblPr>
      <w:tblGrid>
        <w:gridCol w:w="2700"/>
        <w:gridCol w:w="6660"/>
      </w:tblGrid>
      <w:tr>
        <w:tc>
          <w:tcPr>
            <w:tcW w:type="dxa" w:w="2700"/>
            <w:shd w:fill="F4F6FB" w:val="clear"/>
            <w:tcMar>
              <w:top w:type="dxa" w:w="60"/>
              <w:left w:type="dxa" w:w="120"/>
              <w:bottom w:type="dxa" w:w="60"/>
              <w:right w:type="dxa" w:w="120"/>
            </w:tcMar>
          </w:tcPr>
          <w:p>
            <w:r>
              <w:rPr>
                <w:b/>
                <w:bCs/>
                <w:color w:val="1F2A44"/>
                <w:sz w:val="19"/>
                <w:szCs w:val="19"/>
              </w:rPr>
              <w:t xml:space="preserve">Role</w:t>
            </w:r>
          </w:p>
        </w:tc>
        <w:tc>
          <w:tcPr>
            <w:tcW w:type="dxa" w:w="6660"/>
            <w:tcMar>
              <w:top w:type="dxa" w:w="60"/>
              <w:left w:type="dxa" w:w="120"/>
              <w:bottom w:type="dxa" w:w="60"/>
              <w:right w:type="dxa" w:w="120"/>
            </w:tcMar>
          </w:tcPr>
          <w:p>
            <w:r>
              <w:rPr>
                <w:color w:val="1F2A44"/>
                <w:sz w:val="19"/>
                <w:szCs w:val="19"/>
              </w:rPr>
              <w:t xml:space="preserve">Project Management / Delivery Leadership</w:t>
            </w:r>
          </w:p>
        </w:tc>
      </w:tr>
      <w:tr>
        <w:tc>
          <w:tcPr>
            <w:tcW w:type="dxa" w:w="2700"/>
            <w:shd w:fill="F4F6FB" w:val="clear"/>
            <w:tcMar>
              <w:top w:type="dxa" w:w="60"/>
              <w:left w:type="dxa" w:w="120"/>
              <w:bottom w:type="dxa" w:w="60"/>
              <w:right w:type="dxa" w:w="120"/>
            </w:tcMar>
          </w:tcPr>
          <w:p>
            <w:r>
              <w:rPr>
                <w:b/>
                <w:bCs/>
                <w:color w:val="1F2A44"/>
                <w:sz w:val="19"/>
                <w:szCs w:val="19"/>
              </w:rPr>
              <w:t xml:space="preserve">Experience</w:t>
            </w:r>
          </w:p>
        </w:tc>
        <w:tc>
          <w:tcPr>
            <w:tcW w:type="dxa" w:w="6660"/>
            <w:tcMar>
              <w:top w:type="dxa" w:w="60"/>
              <w:left w:type="dxa" w:w="120"/>
              <w:bottom w:type="dxa" w:w="60"/>
              <w:right w:type="dxa" w:w="120"/>
            </w:tcMar>
          </w:tcPr>
          <w:p>
            <w:r>
              <w:rPr>
                <w:color w:val="1F2A44"/>
                <w:sz w:val="19"/>
                <w:szCs w:val="19"/>
              </w:rPr>
              <w:t xml:space="preserve">10–15 years</w:t>
            </w:r>
          </w:p>
        </w:tc>
      </w:tr>
      <w:tr>
        <w:tc>
          <w:tcPr>
            <w:tcW w:type="dxa" w:w="2700"/>
            <w:shd w:fill="F4F6FB" w:val="clear"/>
            <w:tcMar>
              <w:top w:type="dxa" w:w="60"/>
              <w:left w:type="dxa" w:w="120"/>
              <w:bottom w:type="dxa" w:w="60"/>
              <w:right w:type="dxa" w:w="120"/>
            </w:tcMar>
          </w:tcPr>
          <w:p>
            <w:r>
              <w:rPr>
                <w:b/>
                <w:bCs/>
                <w:color w:val="1F2A44"/>
                <w:sz w:val="19"/>
                <w:szCs w:val="19"/>
              </w:rPr>
              <w:t xml:space="preserve">Location</w:t>
            </w:r>
          </w:p>
        </w:tc>
        <w:tc>
          <w:tcPr>
            <w:tcW w:type="dxa" w:w="6660"/>
            <w:tcMar>
              <w:top w:type="dxa" w:w="60"/>
              <w:left w:type="dxa" w:w="120"/>
              <w:bottom w:type="dxa" w:w="60"/>
              <w:right w:type="dxa" w:w="120"/>
            </w:tcMar>
          </w:tcPr>
          <w:p>
            <w:r>
              <w:rPr>
                <w:color w:val="1F2A44"/>
                <w:sz w:val="19"/>
                <w:szCs w:val="19"/>
              </w:rPr>
              <w:t xml:space="preserve">Thailand</w:t>
            </w:r>
          </w:p>
        </w:tc>
      </w:tr>
      <w:tr>
        <w:tc>
          <w:tcPr>
            <w:tcW w:type="dxa" w:w="2700"/>
            <w:shd w:fill="F4F6FB" w:val="clear"/>
            <w:tcMar>
              <w:top w:type="dxa" w:w="60"/>
              <w:left w:type="dxa" w:w="120"/>
              <w:bottom w:type="dxa" w:w="60"/>
              <w:right w:type="dxa" w:w="120"/>
            </w:tcMar>
          </w:tcPr>
          <w:p>
            <w:r>
              <w:rPr>
                <w:b/>
                <w:bCs/>
                <w:color w:val="1F2A44"/>
                <w:sz w:val="19"/>
                <w:szCs w:val="19"/>
              </w:rPr>
              <w:t xml:space="preserve">Reports to</w:t>
            </w:r>
          </w:p>
        </w:tc>
        <w:tc>
          <w:tcPr>
            <w:tcW w:type="dxa" w:w="6660"/>
            <w:tcMar>
              <w:top w:type="dxa" w:w="60"/>
              <w:left w:type="dxa" w:w="120"/>
              <w:bottom w:type="dxa" w:w="60"/>
              <w:right w:type="dxa" w:w="120"/>
            </w:tcMar>
          </w:tcPr>
          <w:p>
            <w:r>
              <w:rPr>
                <w:color w:val="1F2A44"/>
                <w:sz w:val="19"/>
                <w:szCs w:val="19"/>
              </w:rPr>
              <w:t xml:space="preserve">Country Director</w:t>
            </w:r>
          </w:p>
        </w:tc>
      </w:tr>
      <w:tr>
        <w:tc>
          <w:tcPr>
            <w:tcW w:type="dxa" w:w="2700"/>
            <w:shd w:fill="F4F6FB" w:val="clear"/>
            <w:tcMar>
              <w:top w:type="dxa" w:w="60"/>
              <w:left w:type="dxa" w:w="120"/>
              <w:bottom w:type="dxa" w:w="60"/>
              <w:right w:type="dxa" w:w="120"/>
            </w:tcMar>
          </w:tcPr>
          <w:p>
            <w:r>
              <w:rPr>
                <w:b/>
                <w:bCs/>
                <w:color w:val="1F2A44"/>
                <w:sz w:val="19"/>
                <w:szCs w:val="19"/>
              </w:rPr>
              <w:t xml:space="preserve">Compensation</w:t>
            </w:r>
          </w:p>
        </w:tc>
        <w:tc>
          <w:tcPr>
            <w:tcW w:type="dxa" w:w="6660"/>
            <w:tcMar>
              <w:top w:type="dxa" w:w="60"/>
              <w:left w:type="dxa" w:w="120"/>
              <w:bottom w:type="dxa" w:w="60"/>
              <w:right w:type="dxa" w:w="120"/>
            </w:tcMar>
          </w:tcPr>
          <w:p>
            <w:r>
              <w:rPr>
                <w:color w:val="1F2A44"/>
                <w:sz w:val="19"/>
                <w:szCs w:val="19"/>
              </w:rPr>
              <w:t xml:space="preserve">As per industry norms</w:t>
            </w:r>
          </w:p>
        </w:tc>
      </w:tr>
    </w:tbl>
    <w:p>
      <w:pPr>
        <w:pBdr>
          <w:bottom w:val="single" w:color="E8622B" w:sz="6" w:space="4"/>
        </w:pBdr>
        <w:spacing w:after="80" w:before="240"/>
      </w:pPr>
      <w:r>
        <w:rPr>
          <w:b/>
          <w:bCs/>
          <w:color w:val="E8622B"/>
          <w:spacing w:val="20"/>
          <w:sz w:val="20"/>
          <w:szCs w:val="20"/>
        </w:rPr>
        <w:t xml:space="preserve">ABOUT HONO</w:t>
      </w:r>
    </w:p>
    <w:p>
      <w:pPr>
        <w:spacing w:after="120"/>
      </w:pPr>
      <w:r>
        <w:rPr>
          <w:i w:val="false"/>
          <w:iCs w:val="false"/>
          <w:color w:val="5F6D92"/>
          <w:sz w:val="20"/>
          <w:szCs w:val="20"/>
        </w:rPr>
        <w:t xml:space="preserve">HONO.ai is a premium HR-tech platform and suite of HR services built for the full range of enterprise people needs. HONO helps organisations nurture human relationships, empowers employees to realise their true potential, and attracts and retains the best talent through a host of innovative technologies — connecting people across cultures, teams and systems, and across multiple channels and platforms.</w:t>
      </w:r>
    </w:p>
    <w:p>
      <w:pPr>
        <w:pBdr>
          <w:bottom w:val="single" w:color="E8622B" w:sz="6" w:space="4"/>
        </w:pBdr>
        <w:spacing w:after="80" w:before="240"/>
      </w:pPr>
      <w:r>
        <w:rPr>
          <w:b/>
          <w:bCs/>
          <w:color w:val="E8622B"/>
          <w:spacing w:val="20"/>
          <w:sz w:val="20"/>
          <w:szCs w:val="20"/>
        </w:rPr>
        <w:t xml:space="preserve">ROLE SUMMARY</w:t>
      </w:r>
    </w:p>
    <w:p>
      <w:pPr>
        <w:spacing w:after="120"/>
      </w:pPr>
      <w:r>
        <w:rPr>
          <w:i w:val="false"/>
          <w:iCs w:val="false"/>
          <w:color w:val="1F2A44"/>
          <w:sz w:val="20"/>
          <w:szCs w:val="20"/>
        </w:rPr>
        <w:t xml:space="preserve">The Implementation Head leads regional operations and project delivery for the HCM implementation vertical — spanning presales, requirement gathering, project definition and management, client servicing, implementation, back-end configuration, database management, support and Customer Success — while defining and managing budgets and contributing to a world-class HCM product.</w:t>
      </w:r>
    </w:p>
    <w:p>
      <w:pPr>
        <w:pBdr>
          <w:bottom w:val="single" w:color="E8622B" w:sz="6" w:space="4"/>
        </w:pBdr>
        <w:spacing w:after="80" w:before="240"/>
      </w:pPr>
      <w:r>
        <w:rPr>
          <w:b/>
          <w:bCs/>
          <w:color w:val="E8622B"/>
          <w:spacing w:val="20"/>
          <w:sz w:val="20"/>
          <w:szCs w:val="20"/>
        </w:rPr>
        <w:t xml:space="preserve">KEY RESPONSIBILITIES</w:t>
      </w:r>
    </w:p>
    <w:p>
      <w:pPr>
        <w:pStyle w:val="ListParagraph"/>
        <w:numPr>
          <w:ilvl w:val="0"/>
          <w:numId w:val="2"/>
        </w:numPr>
        <w:spacing w:after="60"/>
      </w:pPr>
      <w:r>
        <w:rPr>
          <w:color w:val="1F2A44"/>
          <w:sz w:val="20"/>
          <w:szCs w:val="20"/>
        </w:rPr>
        <w:t xml:space="preserve">Manage the end-to-end project lifecycle through project managers: requirement gathering, scoping, roadmaps with clear timelines, allocation of deliverables, progress monitoring, corrective action, and delivery.</w:t>
      </w:r>
    </w:p>
    <w:p>
      <w:pPr>
        <w:pStyle w:val="ListParagraph"/>
        <w:numPr>
          <w:ilvl w:val="0"/>
          <w:numId w:val="2"/>
        </w:numPr>
        <w:spacing w:after="60"/>
      </w:pPr>
      <w:r>
        <w:rPr>
          <w:color w:val="1F2A44"/>
          <w:sz w:val="20"/>
          <w:szCs w:val="20"/>
        </w:rPr>
        <w:t xml:space="preserve">Drive, manage and monitor the team to ensure timely, quality delivery.</w:t>
      </w:r>
    </w:p>
    <w:p>
      <w:pPr>
        <w:pStyle w:val="ListParagraph"/>
        <w:numPr>
          <w:ilvl w:val="0"/>
          <w:numId w:val="2"/>
        </w:numPr>
        <w:spacing w:after="60"/>
      </w:pPr>
      <w:r>
        <w:rPr>
          <w:color w:val="1F2A44"/>
          <w:sz w:val="20"/>
          <w:szCs w:val="20"/>
        </w:rPr>
        <w:t xml:space="preserve">Chair steering-committee meetings to safeguard timelines, quality and Customer Success.</w:t>
      </w:r>
    </w:p>
    <w:p>
      <w:pPr>
        <w:pStyle w:val="ListParagraph"/>
        <w:numPr>
          <w:ilvl w:val="0"/>
          <w:numId w:val="2"/>
        </w:numPr>
        <w:spacing w:after="60"/>
      </w:pPr>
      <w:r>
        <w:rPr>
          <w:color w:val="1F2A44"/>
          <w:sz w:val="20"/>
          <w:szCs w:val="20"/>
        </w:rPr>
        <w:t xml:space="preserve">Support Business Development with demos, requirement gathering, solution design and proposals.</w:t>
      </w:r>
    </w:p>
    <w:p>
      <w:pPr>
        <w:pStyle w:val="ListParagraph"/>
        <w:numPr>
          <w:ilvl w:val="0"/>
          <w:numId w:val="2"/>
        </w:numPr>
        <w:spacing w:after="60"/>
      </w:pPr>
      <w:r>
        <w:rPr>
          <w:color w:val="1F2A44"/>
          <w:sz w:val="20"/>
          <w:szCs w:val="20"/>
        </w:rPr>
        <w:t xml:space="preserve">Work with Product Development to guide product improvement, informed by market intelligence and competitor benchmarking.</w:t>
      </w:r>
    </w:p>
    <w:p>
      <w:pPr>
        <w:pStyle w:val="ListParagraph"/>
        <w:numPr>
          <w:ilvl w:val="0"/>
          <w:numId w:val="2"/>
        </w:numPr>
        <w:spacing w:after="60"/>
      </w:pPr>
      <w:r>
        <w:rPr>
          <w:color w:val="1F2A44"/>
          <w:sz w:val="20"/>
          <w:szCs w:val="20"/>
        </w:rPr>
        <w:t xml:space="preserve">Ensure a best-in-class customer experience and support within agreed turnaround times.</w:t>
      </w:r>
    </w:p>
    <w:p>
      <w:pPr>
        <w:pStyle w:val="ListParagraph"/>
        <w:numPr>
          <w:ilvl w:val="0"/>
          <w:numId w:val="2"/>
        </w:numPr>
        <w:spacing w:after="60"/>
      </w:pPr>
      <w:r>
        <w:rPr>
          <w:color w:val="1F2A44"/>
          <w:sz w:val="20"/>
          <w:szCs w:val="20"/>
        </w:rPr>
        <w:t xml:space="preserve">Define performance metrics and lift the productivity of functional, implementation and support consultants.</w:t>
      </w:r>
    </w:p>
    <w:p>
      <w:pPr>
        <w:pStyle w:val="ListParagraph"/>
        <w:numPr>
          <w:ilvl w:val="0"/>
          <w:numId w:val="2"/>
        </w:numPr>
        <w:spacing w:after="60"/>
      </w:pPr>
      <w:r>
        <w:rPr>
          <w:color w:val="1F2A44"/>
          <w:sz w:val="20"/>
          <w:szCs w:val="20"/>
        </w:rPr>
        <w:t xml:space="preserve">Act as the escalation point for all product-related client complaints.</w:t>
      </w:r>
    </w:p>
    <w:p>
      <w:pPr>
        <w:pStyle w:val="ListParagraph"/>
        <w:numPr>
          <w:ilvl w:val="0"/>
          <w:numId w:val="2"/>
        </w:numPr>
        <w:spacing w:after="60"/>
      </w:pPr>
      <w:r>
        <w:rPr>
          <w:color w:val="1F2A44"/>
          <w:sz w:val="20"/>
          <w:szCs w:val="20"/>
        </w:rPr>
        <w:t xml:space="preserve">Research and deploy the latest tools and techniques to continually improve delivery performance.</w:t>
      </w:r>
    </w:p>
    <w:p>
      <w:pPr>
        <w:pStyle w:val="ListParagraph"/>
        <w:numPr>
          <w:ilvl w:val="0"/>
          <w:numId w:val="2"/>
        </w:numPr>
        <w:spacing w:after="60"/>
      </w:pPr>
      <w:r>
        <w:rPr>
          <w:color w:val="1F2A44"/>
          <w:sz w:val="20"/>
          <w:szCs w:val="20"/>
        </w:rPr>
        <w:t xml:space="preserve">Provide senior management with regular updates on progress, variances and corrective actions, with impact analysis.</w:t>
      </w:r>
    </w:p>
    <w:p>
      <w:pPr>
        <w:pStyle w:val="ListParagraph"/>
        <w:numPr>
          <w:ilvl w:val="0"/>
          <w:numId w:val="2"/>
        </w:numPr>
        <w:spacing w:after="60"/>
      </w:pPr>
      <w:r>
        <w:rPr>
          <w:color w:val="1F2A44"/>
          <w:sz w:val="20"/>
          <w:szCs w:val="20"/>
        </w:rPr>
        <w:t xml:space="preserve">Ensure requirements are documented and categorised (existing, planned, customisation).</w:t>
      </w:r>
    </w:p>
    <w:p>
      <w:pPr>
        <w:pStyle w:val="ListParagraph"/>
        <w:numPr>
          <w:ilvl w:val="0"/>
          <w:numId w:val="2"/>
        </w:numPr>
        <w:spacing w:after="60"/>
      </w:pPr>
      <w:r>
        <w:rPr>
          <w:color w:val="1F2A44"/>
          <w:sz w:val="20"/>
          <w:szCs w:val="20"/>
        </w:rPr>
        <w:t xml:space="preserve">Hire, train and mentor team members, and maintain a repository of product training material.</w:t>
      </w:r>
    </w:p>
    <w:p>
      <w:pPr>
        <w:pStyle w:val="ListParagraph"/>
        <w:numPr>
          <w:ilvl w:val="0"/>
          <w:numId w:val="2"/>
        </w:numPr>
        <w:spacing w:after="60"/>
      </w:pPr>
      <w:r>
        <w:rPr>
          <w:color w:val="1F2A44"/>
          <w:sz w:val="20"/>
          <w:szCs w:val="20"/>
        </w:rPr>
        <w:t xml:space="preserve">Continually improve the delivery environment and drive process improvements.</w:t>
      </w:r>
    </w:p>
    <w:p>
      <w:pPr>
        <w:pBdr>
          <w:bottom w:val="single" w:color="E8622B" w:sz="6" w:space="4"/>
        </w:pBdr>
        <w:spacing w:after="80" w:before="240"/>
      </w:pPr>
      <w:r>
        <w:rPr>
          <w:b/>
          <w:bCs/>
          <w:color w:val="E8622B"/>
          <w:spacing w:val="20"/>
          <w:sz w:val="20"/>
          <w:szCs w:val="20"/>
        </w:rPr>
        <w:t xml:space="preserve">ELIGIBILITY</w:t>
      </w:r>
    </w:p>
    <w:p>
      <w:pPr>
        <w:pStyle w:val="ListParagraph"/>
        <w:numPr>
          <w:ilvl w:val="0"/>
          <w:numId w:val="2"/>
        </w:numPr>
        <w:spacing w:after="60"/>
      </w:pPr>
      <w:r>
        <w:rPr>
          <w:color w:val="1F2A44"/>
          <w:sz w:val="20"/>
          <w:szCs w:val="20"/>
        </w:rPr>
        <w:t xml:space="preserve">7+ years implementing HRMS/HRIS/HCM (10–15 years’ overall experience).</w:t>
      </w:r>
    </w:p>
    <w:p>
      <w:pPr>
        <w:pStyle w:val="ListParagraph"/>
        <w:numPr>
          <w:ilvl w:val="0"/>
          <w:numId w:val="2"/>
        </w:numPr>
        <w:spacing w:after="60"/>
      </w:pPr>
      <w:r>
        <w:rPr>
          <w:color w:val="1F2A44"/>
          <w:sz w:val="20"/>
          <w:szCs w:val="20"/>
        </w:rPr>
        <w:t xml:space="preserve">Detailed understanding of an HCM product at international scale.</w:t>
      </w:r>
    </w:p>
    <w:p>
      <w:pPr>
        <w:pStyle w:val="ListParagraph"/>
        <w:numPr>
          <w:ilvl w:val="0"/>
          <w:numId w:val="2"/>
        </w:numPr>
        <w:spacing w:after="60"/>
      </w:pPr>
      <w:r>
        <w:rPr>
          <w:color w:val="1F2A44"/>
          <w:sz w:val="20"/>
          <w:szCs w:val="20"/>
        </w:rPr>
        <w:t xml:space="preserve">Outstanding communication and leadership skills; willingness to travel.</w:t>
      </w:r>
    </w:p>
    <w:p>
      <w:pPr>
        <w:pBdr>
          <w:bottom w:val="single" w:color="E8622B" w:sz="6" w:space="4"/>
        </w:pBdr>
        <w:spacing w:after="80" w:before="240"/>
      </w:pPr>
      <w:r>
        <w:rPr>
          <w:b/>
          <w:bCs/>
          <w:color w:val="E8622B"/>
          <w:spacing w:val="20"/>
          <w:sz w:val="20"/>
          <w:szCs w:val="20"/>
        </w:rPr>
        <w:t xml:space="preserve">REQUIRED SKILLS</w:t>
      </w:r>
    </w:p>
    <w:p>
      <w:pPr>
        <w:pStyle w:val="ListParagraph"/>
        <w:numPr>
          <w:ilvl w:val="0"/>
          <w:numId w:val="2"/>
        </w:numPr>
        <w:spacing w:after="60"/>
      </w:pPr>
      <w:r>
        <w:rPr>
          <w:color w:val="1F2A44"/>
          <w:sz w:val="20"/>
          <w:szCs w:val="20"/>
        </w:rPr>
        <w:t xml:space="preserve">End-to-end HRMS implementations for multiple clients.</w:t>
      </w:r>
    </w:p>
    <w:p>
      <w:pPr>
        <w:pStyle w:val="ListParagraph"/>
        <w:numPr>
          <w:ilvl w:val="0"/>
          <w:numId w:val="2"/>
        </w:numPr>
        <w:spacing w:after="60"/>
      </w:pPr>
      <w:r>
        <w:rPr>
          <w:color w:val="1F2A44"/>
          <w:sz w:val="20"/>
          <w:szCs w:val="20"/>
        </w:rPr>
        <w:t xml:space="preserve">Project management.</w:t>
      </w:r>
    </w:p>
    <w:p>
      <w:pPr>
        <w:pStyle w:val="ListParagraph"/>
        <w:numPr>
          <w:ilvl w:val="0"/>
          <w:numId w:val="2"/>
        </w:numPr>
        <w:spacing w:after="60"/>
      </w:pPr>
      <w:r>
        <w:rPr>
          <w:color w:val="1F2A44"/>
          <w:sz w:val="20"/>
          <w:szCs w:val="20"/>
        </w:rPr>
        <w:t xml:space="preserve">Project planning and scheduling.</w:t>
      </w:r>
    </w:p>
    <w:p>
      <w:pPr>
        <w:pStyle w:val="ListParagraph"/>
        <w:numPr>
          <w:ilvl w:val="0"/>
          <w:numId w:val="2"/>
        </w:numPr>
        <w:spacing w:after="60"/>
      </w:pPr>
      <w:r>
        <w:rPr>
          <w:color w:val="1F2A44"/>
          <w:sz w:val="20"/>
          <w:szCs w:val="20"/>
        </w:rPr>
        <w:t xml:space="preserve">Delivery management.</w:t>
      </w:r>
    </w:p>
    <w:p>
      <w:pPr>
        <w:pStyle w:val="ListParagraph"/>
        <w:numPr>
          <w:ilvl w:val="0"/>
          <w:numId w:val="2"/>
        </w:numPr>
        <w:spacing w:after="60"/>
      </w:pPr>
      <w:r>
        <w:rPr>
          <w:color w:val="1F2A44"/>
          <w:sz w:val="20"/>
          <w:szCs w:val="20"/>
        </w:rPr>
        <w:t xml:space="preserve">Stakeholder and client management.</w:t>
      </w:r>
    </w:p>
    <w:p>
      <w:pPr>
        <w:pBdr>
          <w:bottom w:val="single" w:color="E8622B" w:sz="6" w:space="4"/>
        </w:pBdr>
        <w:spacing w:after="80" w:before="240"/>
      </w:pPr>
      <w:r>
        <w:rPr>
          <w:b/>
          <w:bCs/>
          <w:color w:val="E8622B"/>
          <w:spacing w:val="20"/>
          <w:sz w:val="20"/>
          <w:szCs w:val="20"/>
        </w:rPr>
        <w:t xml:space="preserve">PREFERRED SKILLS</w:t>
      </w:r>
    </w:p>
    <w:p>
      <w:pPr>
        <w:pStyle w:val="ListParagraph"/>
        <w:numPr>
          <w:ilvl w:val="0"/>
          <w:numId w:val="2"/>
        </w:numPr>
        <w:spacing w:after="60"/>
      </w:pPr>
      <w:r>
        <w:rPr>
          <w:color w:val="1F2A44"/>
          <w:sz w:val="20"/>
          <w:szCs w:val="20"/>
        </w:rPr>
        <w:t xml:space="preserve">Experience implementing an ERP/CRM.</w:t>
      </w:r>
    </w:p>
    <w:p>
      <w:pPr>
        <w:pStyle w:val="ListParagraph"/>
        <w:numPr>
          <w:ilvl w:val="0"/>
          <w:numId w:val="2"/>
        </w:numPr>
        <w:spacing w:after="60"/>
      </w:pPr>
      <w:r>
        <w:rPr>
          <w:color w:val="1F2A44"/>
          <w:sz w:val="20"/>
          <w:szCs w:val="20"/>
        </w:rPr>
        <w:t xml:space="preserve">B.Tech preferred.</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E8622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2026-07-25T08:38:07.159Z</dcterms:created>
  <dcterms:modified xsi:type="dcterms:W3CDTF">2026-07-25T08:38:07.159Z</dcterms:modified>
</cp:coreProperties>
</file>

<file path=docProps/custom.xml><?xml version="1.0" encoding="utf-8"?>
<Properties xmlns="http://schemas.openxmlformats.org/officeDocument/2006/custom-properties" xmlns:vt="http://schemas.openxmlformats.org/officeDocument/2006/docPropsVTypes"/>
</file>