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olor w:val="E8622B"/>
          <w:sz w:val="20"/>
          <w:szCs w:val="20"/>
        </w:rPr>
        <w:t xml:space="preserve">HONO.ai</w:t>
      </w:r>
      <w:r>
        <w:rPr>
          <w:color w:val="5F6D92"/>
          <w:sz w:val="18"/>
          <w:szCs w:val="18"/>
        </w:rPr>
        <w:t xml:space="preserve">  ·  Job Description</w:t>
      </w:r>
    </w:p>
    <w:p>
      <w:pPr>
        <w:spacing w:after="120"/>
      </w:pPr>
      <w:r>
        <w:rPr>
          <w:b/>
          <w:bCs/>
          <w:color w:val="1F2A44"/>
          <w:sz w:val="40"/>
          <w:szCs w:val="40"/>
        </w:rPr>
        <w:t xml:space="preserve">Support Analyst (L1)</w:t>
      </w:r>
    </w:p>
    <w:tbl>
      <w:tblPr>
        <w:tblW w:type="dxa" w:w="9360"/>
        <w:tblBorders>
          <w:top w:val="single" w:color="D9DEEA" w:sz="4"/>
          <w:left w:val="single" w:color="D9DEEA" w:sz="4"/>
          <w:bottom w:val="single" w:color="D9DEEA" w:sz="4"/>
          <w:right w:val="single" w:color="D9DEEA" w:sz="4"/>
          <w:insideH w:val="single" w:color="D9DEEA" w:sz="4"/>
          <w:insideV w:val="single" w:color="D9DEEA" w:sz="4"/>
        </w:tblBorders>
      </w:tblPr>
      <w:tblGrid>
        <w:gridCol w:w="2700"/>
        <w:gridCol w:w="6660"/>
      </w:tblGrid>
      <w:tr>
        <w:tc>
          <w:tcPr>
            <w:tcW w:type="dxa" w:w="2700"/>
            <w:shd w:fill="F4F6FB" w:val="clear"/>
            <w:tcMar>
              <w:top w:type="dxa" w:w="60"/>
              <w:left w:type="dxa" w:w="120"/>
              <w:bottom w:type="dxa" w:w="60"/>
              <w:right w:type="dxa" w:w="120"/>
            </w:tcMar>
          </w:tcPr>
          <w:p>
            <w:r>
              <w:rPr>
                <w:b/>
                <w:bCs/>
                <w:color w:val="1F2A44"/>
                <w:sz w:val="19"/>
                <w:szCs w:val="19"/>
              </w:rPr>
              <w:t xml:space="preserve">Role</w:t>
            </w:r>
          </w:p>
        </w:tc>
        <w:tc>
          <w:tcPr>
            <w:tcW w:type="dxa" w:w="6660"/>
            <w:tcMar>
              <w:top w:type="dxa" w:w="60"/>
              <w:left w:type="dxa" w:w="120"/>
              <w:bottom w:type="dxa" w:w="60"/>
              <w:right w:type="dxa" w:w="120"/>
            </w:tcMar>
          </w:tcPr>
          <w:p>
            <w:r>
              <w:rPr>
                <w:color w:val="1F2A44"/>
                <w:sz w:val="19"/>
                <w:szCs w:val="19"/>
              </w:rPr>
              <w:t xml:space="preserve">Customer Success / Product Support</w:t>
            </w:r>
          </w:p>
        </w:tc>
      </w:tr>
      <w:tr>
        <w:tc>
          <w:tcPr>
            <w:tcW w:type="dxa" w:w="2700"/>
            <w:shd w:fill="F4F6FB" w:val="clear"/>
            <w:tcMar>
              <w:top w:type="dxa" w:w="60"/>
              <w:left w:type="dxa" w:w="120"/>
              <w:bottom w:type="dxa" w:w="60"/>
              <w:right w:type="dxa" w:w="120"/>
            </w:tcMar>
          </w:tcPr>
          <w:p>
            <w:r>
              <w:rPr>
                <w:b/>
                <w:bCs/>
                <w:color w:val="1F2A44"/>
                <w:sz w:val="19"/>
                <w:szCs w:val="19"/>
              </w:rPr>
              <w:t xml:space="preserve">Experience</w:t>
            </w:r>
          </w:p>
        </w:tc>
        <w:tc>
          <w:tcPr>
            <w:tcW w:type="dxa" w:w="6660"/>
            <w:tcMar>
              <w:top w:type="dxa" w:w="60"/>
              <w:left w:type="dxa" w:w="120"/>
              <w:bottom w:type="dxa" w:w="60"/>
              <w:right w:type="dxa" w:w="120"/>
            </w:tcMar>
          </w:tcPr>
          <w:p>
            <w:r>
              <w:rPr>
                <w:color w:val="1F2A44"/>
                <w:sz w:val="19"/>
                <w:szCs w:val="19"/>
              </w:rPr>
              <w:t xml:space="preserve">2+ years</w:t>
            </w:r>
          </w:p>
        </w:tc>
      </w:tr>
      <w:tr>
        <w:tc>
          <w:tcPr>
            <w:tcW w:type="dxa" w:w="2700"/>
            <w:shd w:fill="F4F6FB" w:val="clear"/>
            <w:tcMar>
              <w:top w:type="dxa" w:w="60"/>
              <w:left w:type="dxa" w:w="120"/>
              <w:bottom w:type="dxa" w:w="60"/>
              <w:right w:type="dxa" w:w="120"/>
            </w:tcMar>
          </w:tcPr>
          <w:p>
            <w:r>
              <w:rPr>
                <w:b/>
                <w:bCs/>
                <w:color w:val="1F2A44"/>
                <w:sz w:val="19"/>
                <w:szCs w:val="19"/>
              </w:rPr>
              <w:t xml:space="preserve">Location</w:t>
            </w:r>
          </w:p>
        </w:tc>
        <w:tc>
          <w:tcPr>
            <w:tcW w:type="dxa" w:w="6660"/>
            <w:tcMar>
              <w:top w:type="dxa" w:w="60"/>
              <w:left w:type="dxa" w:w="120"/>
              <w:bottom w:type="dxa" w:w="60"/>
              <w:right w:type="dxa" w:w="120"/>
            </w:tcMar>
          </w:tcPr>
          <w:p>
            <w:r>
              <w:rPr>
                <w:color w:val="1F2A44"/>
                <w:sz w:val="19"/>
                <w:szCs w:val="19"/>
              </w:rPr>
              <w:t xml:space="preserve">Per opening</w:t>
            </w:r>
          </w:p>
        </w:tc>
      </w:tr>
      <w:tr>
        <w:tc>
          <w:tcPr>
            <w:tcW w:type="dxa" w:w="2700"/>
            <w:shd w:fill="F4F6FB" w:val="clear"/>
            <w:tcMar>
              <w:top w:type="dxa" w:w="60"/>
              <w:left w:type="dxa" w:w="120"/>
              <w:bottom w:type="dxa" w:w="60"/>
              <w:right w:type="dxa" w:w="120"/>
            </w:tcMar>
          </w:tcPr>
          <w:p>
            <w:r>
              <w:rPr>
                <w:b/>
                <w:bCs/>
                <w:color w:val="1F2A44"/>
                <w:sz w:val="19"/>
                <w:szCs w:val="19"/>
              </w:rPr>
              <w:t xml:space="preserve">Reports to</w:t>
            </w:r>
          </w:p>
        </w:tc>
        <w:tc>
          <w:tcPr>
            <w:tcW w:type="dxa" w:w="6660"/>
            <w:tcMar>
              <w:top w:type="dxa" w:w="60"/>
              <w:left w:type="dxa" w:w="120"/>
              <w:bottom w:type="dxa" w:w="60"/>
              <w:right w:type="dxa" w:w="120"/>
            </w:tcMar>
          </w:tcPr>
          <w:p>
            <w:r>
              <w:rPr>
                <w:color w:val="1F2A44"/>
                <w:sz w:val="19"/>
                <w:szCs w:val="19"/>
              </w:rPr>
              <w:t xml:space="preserve">Operations Head (dotted line: CSM)</w:t>
            </w:r>
          </w:p>
        </w:tc>
      </w:tr>
      <w:tr>
        <w:tc>
          <w:tcPr>
            <w:tcW w:type="dxa" w:w="2700"/>
            <w:shd w:fill="F4F6FB" w:val="clear"/>
            <w:tcMar>
              <w:top w:type="dxa" w:w="60"/>
              <w:left w:type="dxa" w:w="120"/>
              <w:bottom w:type="dxa" w:w="60"/>
              <w:right w:type="dxa" w:w="120"/>
            </w:tcMar>
          </w:tcPr>
          <w:p>
            <w:r>
              <w:rPr>
                <w:b/>
                <w:bCs/>
                <w:color w:val="1F2A44"/>
                <w:sz w:val="19"/>
                <w:szCs w:val="19"/>
              </w:rPr>
              <w:t xml:space="preserve">Compensation</w:t>
            </w:r>
          </w:p>
        </w:tc>
        <w:tc>
          <w:tcPr>
            <w:tcW w:type="dxa" w:w="6660"/>
            <w:tcMar>
              <w:top w:type="dxa" w:w="60"/>
              <w:left w:type="dxa" w:w="120"/>
              <w:bottom w:type="dxa" w:w="60"/>
              <w:right w:type="dxa" w:w="120"/>
            </w:tcMar>
          </w:tcPr>
          <w:p>
            <w:r>
              <w:rPr>
                <w:color w:val="1F2A44"/>
                <w:sz w:val="19"/>
                <w:szCs w:val="19"/>
              </w:rPr>
              <w:t xml:space="preserve">As per industry norms</w:t>
            </w:r>
          </w:p>
        </w:tc>
      </w:tr>
    </w:tbl>
    <w:p>
      <w:pPr>
        <w:pBdr>
          <w:bottom w:val="single" w:color="E8622B" w:sz="6" w:space="4"/>
        </w:pBdr>
        <w:spacing w:after="80" w:before="240"/>
      </w:pPr>
      <w:r>
        <w:rPr>
          <w:b/>
          <w:bCs/>
          <w:color w:val="E8622B"/>
          <w:spacing w:val="20"/>
          <w:sz w:val="20"/>
          <w:szCs w:val="20"/>
        </w:rPr>
        <w:t xml:space="preserve">ABOUT HONO</w:t>
      </w:r>
    </w:p>
    <w:p>
      <w:pPr>
        <w:spacing w:after="120"/>
      </w:pPr>
      <w:r>
        <w:rPr>
          <w:i w:val="false"/>
          <w:iCs w:val="false"/>
          <w:color w:val="5F6D92"/>
          <w:sz w:val="20"/>
          <w:szCs w:val="20"/>
        </w:rPr>
        <w:t xml:space="preserve">HONO.ai is a premium HR-tech platform and suite of HR services built for the full range of enterprise people needs. HONO helps organisations nurture human relationships, empowers employees to realise their true potential, and attracts and retains the best talent through a host of innovative technologies — connecting people across cultures, teams and systems, and across multiple channels and platforms.</w:t>
      </w:r>
    </w:p>
    <w:p>
      <w:pPr>
        <w:pBdr>
          <w:bottom w:val="single" w:color="E8622B" w:sz="6" w:space="4"/>
        </w:pBdr>
        <w:spacing w:after="80" w:before="240"/>
      </w:pPr>
      <w:r>
        <w:rPr>
          <w:b/>
          <w:bCs/>
          <w:color w:val="E8622B"/>
          <w:spacing w:val="20"/>
          <w:sz w:val="20"/>
          <w:szCs w:val="20"/>
        </w:rPr>
        <w:t xml:space="preserve">ROLE SUMMARY</w:t>
      </w:r>
    </w:p>
    <w:p>
      <w:pPr>
        <w:spacing w:after="120"/>
      </w:pPr>
      <w:r>
        <w:rPr>
          <w:i w:val="false"/>
          <w:iCs w:val="false"/>
          <w:color w:val="1F2A44"/>
          <w:sz w:val="20"/>
          <w:szCs w:val="20"/>
        </w:rPr>
        <w:t xml:space="preserve">The Support Analyst is the first line of support for HONO clients. You analyse and resolve help-desk tickets within SLA, reproduce issues in a test environment, escalate L2/L3 items with clear documentation, and own database-level support.</w:t>
      </w:r>
    </w:p>
    <w:p>
      <w:pPr>
        <w:pBdr>
          <w:bottom w:val="single" w:color="E8622B" w:sz="6" w:space="4"/>
        </w:pBdr>
        <w:spacing w:after="80" w:before="240"/>
      </w:pPr>
      <w:r>
        <w:rPr>
          <w:b/>
          <w:bCs/>
          <w:color w:val="E8622B"/>
          <w:spacing w:val="20"/>
          <w:sz w:val="20"/>
          <w:szCs w:val="20"/>
        </w:rPr>
        <w:t xml:space="preserve">KEY RESPONSIBILITIES</w:t>
      </w:r>
    </w:p>
    <w:p>
      <w:pPr>
        <w:pStyle w:val="ListParagraph"/>
        <w:numPr>
          <w:ilvl w:val="0"/>
          <w:numId w:val="2"/>
        </w:numPr>
        <w:spacing w:after="60"/>
      </w:pPr>
      <w:r>
        <w:rPr>
          <w:color w:val="1F2A44"/>
          <w:sz w:val="20"/>
          <w:szCs w:val="20"/>
        </w:rPr>
        <w:t xml:space="preserve">Analyse issues raised by business users on the help-desk ticketing system.</w:t>
      </w:r>
    </w:p>
    <w:p>
      <w:pPr>
        <w:pStyle w:val="ListParagraph"/>
        <w:numPr>
          <w:ilvl w:val="0"/>
          <w:numId w:val="2"/>
        </w:numPr>
        <w:spacing w:after="60"/>
      </w:pPr>
      <w:r>
        <w:rPr>
          <w:color w:val="1F2A44"/>
          <w:sz w:val="20"/>
          <w:szCs w:val="20"/>
        </w:rPr>
        <w:t xml:space="preserve">Engage users to understand each issue, build use cases to reproduce it in a test environment, draw on the knowledge base, and respond within the defined SLA.</w:t>
      </w:r>
    </w:p>
    <w:p>
      <w:pPr>
        <w:pStyle w:val="ListParagraph"/>
        <w:numPr>
          <w:ilvl w:val="0"/>
          <w:numId w:val="2"/>
        </w:numPr>
        <w:spacing w:after="60"/>
      </w:pPr>
      <w:r>
        <w:rPr>
          <w:color w:val="1F2A44"/>
          <w:sz w:val="20"/>
          <w:szCs w:val="20"/>
        </w:rPr>
        <w:t xml:space="preserve">For functional issues resolvable at L2/L3, notify users and resolve the ticket with full documentation in the support tool.</w:t>
      </w:r>
    </w:p>
    <w:p>
      <w:pPr>
        <w:pStyle w:val="ListParagraph"/>
        <w:numPr>
          <w:ilvl w:val="0"/>
          <w:numId w:val="2"/>
        </w:numPr>
        <w:spacing w:after="60"/>
      </w:pPr>
      <w:r>
        <w:rPr>
          <w:color w:val="1F2A44"/>
          <w:sz w:val="20"/>
          <w:szCs w:val="20"/>
        </w:rPr>
        <w:t xml:space="preserve">Own database-related support: data verification, data uploads, SQL queries, and stored procedures for complex issues.</w:t>
      </w:r>
    </w:p>
    <w:p>
      <w:pPr>
        <w:pStyle w:val="ListParagraph"/>
        <w:numPr>
          <w:ilvl w:val="0"/>
          <w:numId w:val="2"/>
        </w:numPr>
        <w:spacing w:after="60"/>
      </w:pPr>
      <w:r>
        <w:rPr>
          <w:color w:val="1F2A44"/>
          <w:sz w:val="20"/>
          <w:szCs w:val="20"/>
        </w:rPr>
        <w:t xml:space="preserve">Close tickets only after the user has verified the resolution.</w:t>
      </w:r>
    </w:p>
    <w:p>
      <w:pPr>
        <w:pStyle w:val="ListParagraph"/>
        <w:numPr>
          <w:ilvl w:val="0"/>
          <w:numId w:val="2"/>
        </w:numPr>
        <w:spacing w:after="60"/>
      </w:pPr>
      <w:r>
        <w:rPr>
          <w:color w:val="1F2A44"/>
          <w:sz w:val="20"/>
          <w:szCs w:val="20"/>
        </w:rPr>
        <w:t xml:space="preserve">Take part in Root Cause Analysis (RCA) and record observations in the knowledge-management tool.</w:t>
      </w:r>
    </w:p>
    <w:p>
      <w:pPr>
        <w:pBdr>
          <w:bottom w:val="single" w:color="E8622B" w:sz="6" w:space="4"/>
        </w:pBdr>
        <w:spacing w:after="80" w:before="240"/>
      </w:pPr>
      <w:r>
        <w:rPr>
          <w:b/>
          <w:bCs/>
          <w:color w:val="E8622B"/>
          <w:spacing w:val="20"/>
          <w:sz w:val="20"/>
          <w:szCs w:val="20"/>
        </w:rPr>
        <w:t xml:space="preserve">EXPERIENCE</w:t>
      </w:r>
    </w:p>
    <w:p>
      <w:pPr>
        <w:pStyle w:val="ListParagraph"/>
        <w:numPr>
          <w:ilvl w:val="0"/>
          <w:numId w:val="2"/>
        </w:numPr>
        <w:spacing w:after="60"/>
      </w:pPr>
      <w:r>
        <w:rPr>
          <w:color w:val="1F2A44"/>
          <w:sz w:val="20"/>
          <w:szCs w:val="20"/>
        </w:rPr>
        <w:t xml:space="preserve">2+ years writing and troubleshooting SQL queries.</w:t>
      </w:r>
    </w:p>
    <w:p>
      <w:pPr>
        <w:pStyle w:val="ListParagraph"/>
        <w:numPr>
          <w:ilvl w:val="0"/>
          <w:numId w:val="2"/>
        </w:numPr>
        <w:spacing w:after="60"/>
      </w:pPr>
      <w:r>
        <w:rPr>
          <w:color w:val="1F2A44"/>
          <w:sz w:val="20"/>
          <w:szCs w:val="20"/>
        </w:rPr>
        <w:t xml:space="preserve">Hands-on experience with ticketing tools (Jira, Zendesk, or similar).</w:t>
      </w:r>
    </w:p>
    <w:p>
      <w:pPr>
        <w:pStyle w:val="ListParagraph"/>
        <w:numPr>
          <w:ilvl w:val="0"/>
          <w:numId w:val="2"/>
        </w:numPr>
        <w:spacing w:after="60"/>
      </w:pPr>
      <w:r>
        <w:rPr>
          <w:color w:val="1F2A44"/>
          <w:sz w:val="20"/>
          <w:szCs w:val="20"/>
        </w:rPr>
        <w:t xml:space="preserve">Clear, service-minded communication; structured troubleshooting.</w:t>
      </w:r>
    </w:p>
    <w:p>
      <w:pPr>
        <w:spacing w:before="200"/>
      </w:pPr>
      <w:r>
        <w:rPr>
          <w:i/>
          <w:iCs/>
          <w:color w:val="5F6D92"/>
          <w:sz w:val="17"/>
          <w:szCs w:val="17"/>
        </w:rPr>
        <w:t xml:space="preserve">For Thailand and other in-market roles, professional working proficiency in the local language plus English is preferred.</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E8622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2026-07-25T08:38:07.137Z</dcterms:created>
  <dcterms:modified xsi:type="dcterms:W3CDTF">2026-07-25T08:38:07.137Z</dcterms:modified>
</cp:coreProperties>
</file>

<file path=docProps/custom.xml><?xml version="1.0" encoding="utf-8"?>
<Properties xmlns="http://schemas.openxmlformats.org/officeDocument/2006/custom-properties" xmlns:vt="http://schemas.openxmlformats.org/officeDocument/2006/docPropsVTypes"/>
</file>