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200" w:before="0"/>
        <w:jc w:val="center"/>
      </w:pPr>
      <w:r>
        <w:rPr>
          <w:rFonts w:ascii="Arial" w:cs="Arial" w:eastAsia="Arial" w:hAnsi="Arial"/>
          <w:b/>
          <w:bCs/>
          <w:color w:val="1B3A6B"/>
          <w:sz w:val="56"/>
          <w:szCs w:val="56"/>
        </w:rPr>
        <w:t xml:space="preserve">GLOBAL66</w:t>
      </w:r>
    </w:p>
    <w:p>
      <w:pPr>
        <w:spacing w:after="600" w:before="0"/>
        <w:jc w:val="center"/>
      </w:pPr>
      <w:r>
        <w:rPr>
          <w:rFonts w:ascii="Arial" w:cs="Arial" w:eastAsia="Arial" w:hAnsi="Arial"/>
          <w:color w:val="596579"/>
          <w:sz w:val="26"/>
          <w:szCs w:val="26"/>
        </w:rPr>
        <w:t xml:space="preserve">Equipo de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600"/>
              <w:left w:type="dxa" w:w="400"/>
              <w:bottom w:type="dxa" w:w="600"/>
              <w:right w:type="dxa" w:w="400"/>
            </w:tcMar>
          </w:tcPr>
          <w:p>
            <w:pPr>
              <w:spacing w:after="160" w:before="0"/>
              <w:jc w:val="center"/>
            </w:pPr>
            <w:r>
              <w:rPr>
                <w:rFonts w:ascii="Arial" w:cs="Arial" w:eastAsia="Arial" w:hAnsi="Arial"/>
                <w:color w:val="FFFFFF"/>
                <w:sz w:val="38"/>
                <w:szCs w:val="38"/>
              </w:rPr>
              <w:t xml:space="preserve">Modelo de Supervisión de</w:t>
            </w:r>
          </w:p>
          <w:p>
            <w:pPr>
              <w:spacing w:after="160" w:before="0"/>
              <w:jc w:val="center"/>
            </w:pPr>
            <w:r>
              <w:rPr>
                <w:rFonts w:ascii="Arial" w:cs="Arial" w:eastAsia="Arial" w:hAnsi="Arial"/>
                <w:b/>
                <w:bCs/>
                <w:color w:val="FFFFFF"/>
                <w:sz w:val="48"/>
                <w:szCs w:val="48"/>
              </w:rPr>
              <w:t xml:space="preserve">Activos Virtuales (AV/KYT)</w:t>
            </w:r>
          </w:p>
          <w:p>
            <w:pPr>
              <w:spacing w:after="0" w:before="160"/>
              <w:jc w:val="center"/>
            </w:pPr>
            <w:r>
              <w:rPr>
                <w:rFonts w:ascii="Arial" w:cs="Arial" w:eastAsia="Arial" w:hAnsi="Arial"/>
                <w:i/>
                <w:iCs/>
                <w:color w:val="B8D4F0"/>
                <w:sz w:val="28"/>
                <w:szCs w:val="28"/>
              </w:rPr>
              <w:t xml:space="preserve">Documentación del Proyecto</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Versión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v1.0 — Junio 2026</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Audiencia</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Equipo de Compliance</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Clasificación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C00000"/>
                <w:sz w:val="20"/>
                <w:szCs w:val="20"/>
              </w:rPr>
              <w:t xml:space="preserve">Confidencial — Uso Interno</w:t>
            </w:r>
          </w:p>
        </w:tc>
      </w:tr>
      <w:tr>
        <w:tc>
          <w:tcPr>
            <w:tcW w:type="dxa" w:w="468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Referencia regulatoria</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SFC — DRLAFT 2026</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jc w:val="center"/>
      </w:pPr>
      <w:r>
        <w:rPr>
          <w:rFonts w:ascii="Arial" w:cs="Arial" w:eastAsia="Arial" w:hAnsi="Arial"/>
          <w:b/>
          <w:bCs/>
          <w:color w:val="C00000"/>
          <w:sz w:val="18"/>
          <w:szCs w:val="18"/>
        </w:rPr>
        <w:t xml:space="preserve">Confidencial — Uso Interno Compliance Global66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6B"/>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1B3A6B"/>
          <w:sz w:val="32"/>
          <w:szCs w:val="32"/>
        </w:rPr>
        <w:t xml:space="preserve">1. Resumen Ejecutivo</w:t>
      </w:r>
    </w:p>
    <w:p>
      <w:pPr>
        <w:spacing w:after="100" w:before="60"/>
        <w:jc w:val="both"/>
      </w:pPr>
      <w:r>
        <w:rPr>
          <w:rFonts w:ascii="Arial" w:cs="Arial" w:eastAsia="Arial" w:hAnsi="Arial"/>
          <w:b w:val="false"/>
          <w:bCs w:val="false"/>
          <w:i w:val="false"/>
          <w:iCs w:val="false"/>
          <w:color w:val="2D2D2D"/>
          <w:sz w:val="20"/>
          <w:szCs w:val="20"/>
        </w:rPr>
        <w:t xml:space="preserve">Este documento describe el Modelo de Supervisión de Activos Virtuales (AV/KYT) desarrollado por el equipo de Compliance de Global66 en respuesta al requerimiento regulatorio de la Superintendencia Financiera de Colombia (SFC) en el marco del ejercicio DRLAFT 2026.</w:t>
      </w:r>
    </w:p>
    <w:p>
      <w:pPr>
        <w:spacing w:after="100" w:before="60"/>
        <w:jc w:val="both"/>
      </w:pPr>
      <w:r>
        <w:rPr>
          <w:rFonts w:ascii="Arial" w:cs="Arial" w:eastAsia="Arial" w:hAnsi="Arial"/>
          <w:b w:val="false"/>
          <w:bCs w:val="false"/>
          <w:i w:val="false"/>
          <w:iCs w:val="false"/>
          <w:color w:val="2D2D2D"/>
          <w:sz w:val="20"/>
          <w:szCs w:val="20"/>
        </w:rPr>
        <w:t xml:space="preserve">El modelo permite identificar, analizar y gestionar el riesgo de Lavado de Activos, Financiación del Terrorismo y Financiación de la Proliferación de Armas de Destrucción Masiva (LA/FT/FPADM) asociado a clientes con exposición a activos virtuales, incluyendo criptomonedas, stablecoins y operaciones tipo Bridge.</w:t>
      </w:r>
    </w:p>
    <w:p>
      <w:pPr>
        <w:spacing w:after="60" w:before="60"/>
      </w:pPr>
      <w:r>
        <w:rPr>
          <w:rFonts w:ascii="Arial" w:cs="Arial" w:eastAsia="Arial" w:hAnsi="Arial"/>
        </w:rPr>
        <w:t xml:space="preserve"/>
      </w:r>
    </w:p>
    <w:p>
      <w:pPr>
        <w:pStyle w:val="Heading2"/>
      </w:pPr>
      <w:r>
        <w:rPr>
          <w:rFonts w:ascii="Arial" w:cs="Arial" w:eastAsia="Arial" w:hAnsi="Arial"/>
          <w:b/>
          <w:bCs/>
          <w:color w:val="2E75B6"/>
          <w:sz w:val="26"/>
          <w:szCs w:val="26"/>
        </w:rPr>
        <w:t xml:space="preserve">Resultados del período analizado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DDDDDD" w:sz="1"/>
              <w:bottom w:val="single" w:color="DDDDDD" w:sz="1"/>
              <w:right w:val="single" w:color="DDDDDD" w:sz="1"/>
            </w:tcBorders>
            <w:shd w:fill="F2F4F7" w:val="clear"/>
            <w:tcMar>
              <w:top w:type="dxa" w:w="140"/>
              <w:left w:type="dxa" w:w="120"/>
              <w:bottom w:type="dxa" w:w="140"/>
              <w:right w:type="dxa" w:w="120"/>
            </w:tcMar>
          </w:tcPr>
          <w:p>
            <w:pPr>
              <w:jc w:val="center"/>
            </w:pPr>
            <w:r>
              <w:rPr>
                <w:rFonts w:ascii="Arial" w:cs="Arial" w:eastAsia="Arial" w:hAnsi="Arial"/>
                <w:b/>
                <w:bCs/>
                <w:color w:val="2E75B6"/>
                <w:sz w:val="36"/>
                <w:szCs w:val="36"/>
              </w:rPr>
              <w:t xml:space="preserve">8.268</w:t>
            </w:r>
          </w:p>
          <w:p>
            <w:pPr>
              <w:spacing w:after="0" w:before="0"/>
              <w:jc w:val="center"/>
            </w:pPr>
            <w:r>
              <w:rPr>
                <w:rFonts w:ascii="Arial" w:cs="Arial" w:eastAsia="Arial" w:hAnsi="Arial"/>
                <w:color w:val="596579"/>
                <w:sz w:val="16"/>
                <w:szCs w:val="16"/>
              </w:rPr>
              <w:t xml:space="preserve">Clientes AV identificados</w:t>
            </w:r>
          </w:p>
        </w:tc>
        <w:tc>
          <w:tcPr>
            <w:tcW w:type="dxa" w:w="2340"/>
            <w:tcBorders>
              <w:top w:val="single" w:color="C00000" w:sz="4"/>
              <w:left w:val="single" w:color="DDDDDD" w:sz="1"/>
              <w:bottom w:val="single" w:color="DDDDDD" w:sz="1"/>
              <w:right w:val="single" w:color="DDDDDD" w:sz="1"/>
            </w:tcBorders>
            <w:shd w:fill="F2F4F7" w:val="clear"/>
            <w:tcMar>
              <w:top w:type="dxa" w:w="140"/>
              <w:left w:type="dxa" w:w="120"/>
              <w:bottom w:type="dxa" w:w="140"/>
              <w:right w:type="dxa" w:w="120"/>
            </w:tcMar>
          </w:tcPr>
          <w:p>
            <w:pPr>
              <w:jc w:val="center"/>
            </w:pPr>
            <w:r>
              <w:rPr>
                <w:rFonts w:ascii="Arial" w:cs="Arial" w:eastAsia="Arial" w:hAnsi="Arial"/>
                <w:b/>
                <w:bCs/>
                <w:color w:val="C00000"/>
                <w:sz w:val="36"/>
                <w:szCs w:val="36"/>
              </w:rPr>
              <w:t xml:space="preserve">28.591</w:t>
            </w:r>
          </w:p>
          <w:p>
            <w:pPr>
              <w:spacing w:after="0" w:before="0"/>
              <w:jc w:val="center"/>
            </w:pPr>
            <w:r>
              <w:rPr>
                <w:rFonts w:ascii="Arial" w:cs="Arial" w:eastAsia="Arial" w:hAnsi="Arial"/>
                <w:color w:val="596579"/>
                <w:sz w:val="16"/>
                <w:szCs w:val="16"/>
              </w:rPr>
              <w:t xml:space="preserve">Alertas AML generadas</w:t>
            </w:r>
          </w:p>
        </w:tc>
        <w:tc>
          <w:tcPr>
            <w:tcW w:type="dxa" w:w="2340"/>
            <w:tcBorders>
              <w:top w:val="single" w:color="C55A11" w:sz="4"/>
              <w:left w:val="single" w:color="DDDDDD" w:sz="1"/>
              <w:bottom w:val="single" w:color="DDDDDD" w:sz="1"/>
              <w:right w:val="single" w:color="DDDDDD" w:sz="1"/>
            </w:tcBorders>
            <w:shd w:fill="F2F4F7" w:val="clear"/>
            <w:tcMar>
              <w:top w:type="dxa" w:w="140"/>
              <w:left w:type="dxa" w:w="120"/>
              <w:bottom w:type="dxa" w:w="140"/>
              <w:right w:type="dxa" w:w="120"/>
            </w:tcMar>
          </w:tcPr>
          <w:p>
            <w:pPr>
              <w:jc w:val="center"/>
            </w:pPr>
            <w:r>
              <w:rPr>
                <w:rFonts w:ascii="Arial" w:cs="Arial" w:eastAsia="Arial" w:hAnsi="Arial"/>
                <w:b/>
                <w:bCs/>
                <w:color w:val="C55A11"/>
                <w:sz w:val="36"/>
                <w:szCs w:val="36"/>
              </w:rPr>
              <w:t xml:space="preserve">3</w:t>
            </w:r>
          </w:p>
          <w:p>
            <w:pPr>
              <w:spacing w:after="0" w:before="0"/>
              <w:jc w:val="center"/>
            </w:pPr>
            <w:r>
              <w:rPr>
                <w:rFonts w:ascii="Arial" w:cs="Arial" w:eastAsia="Arial" w:hAnsi="Arial"/>
                <w:color w:val="596579"/>
                <w:sz w:val="16"/>
                <w:szCs w:val="16"/>
              </w:rPr>
              <w:t xml:space="preserve">Redes de mulas detectadas</w:t>
            </w:r>
          </w:p>
        </w:tc>
        <w:tc>
          <w:tcPr>
            <w:tcW w:type="dxa" w:w="2340"/>
            <w:tcBorders>
              <w:top w:val="single" w:color="375623" w:sz="4"/>
              <w:left w:val="single" w:color="DDDDDD" w:sz="1"/>
              <w:bottom w:val="single" w:color="DDDDDD" w:sz="1"/>
              <w:right w:val="single" w:color="DDDDDD" w:sz="1"/>
            </w:tcBorders>
            <w:shd w:fill="F2F4F7" w:val="clear"/>
            <w:tcMar>
              <w:top w:type="dxa" w:w="140"/>
              <w:left w:type="dxa" w:w="120"/>
              <w:bottom w:type="dxa" w:w="140"/>
              <w:right w:type="dxa" w:w="120"/>
            </w:tcMar>
          </w:tcPr>
          <w:p>
            <w:pPr>
              <w:jc w:val="center"/>
            </w:pPr>
            <w:r>
              <w:rPr>
                <w:rFonts w:ascii="Arial" w:cs="Arial" w:eastAsia="Arial" w:hAnsi="Arial"/>
                <w:b/>
                <w:bCs/>
                <w:color w:val="375623"/>
                <w:sz w:val="36"/>
                <w:szCs w:val="36"/>
              </w:rPr>
              <w:t xml:space="preserve">10</w:t>
            </w:r>
          </w:p>
          <w:p>
            <w:pPr>
              <w:spacing w:after="0" w:before="0"/>
              <w:jc w:val="center"/>
            </w:pPr>
            <w:r>
              <w:rPr>
                <w:rFonts w:ascii="Arial" w:cs="Arial" w:eastAsia="Arial" w:hAnsi="Arial"/>
                <w:color w:val="596579"/>
                <w:sz w:val="16"/>
                <w:szCs w:val="16"/>
              </w:rPr>
              <w:t xml:space="preserve">Señales AML aplicadas</w:t>
            </w:r>
          </w:p>
        </w:tc>
      </w:tr>
    </w:tbl>
    <w:p>
      <w:pPr>
        <w:spacing w:after="60" w:before="60"/>
      </w:pPr>
      <w:r>
        <w:rPr>
          <w:rFonts w:ascii="Arial" w:cs="Arial" w:eastAsia="Arial" w:hAnsi="Arial"/>
        </w:rPr>
        <w:t xml:space="preserve"/>
      </w:r>
    </w:p>
    <w:p>
      <w:pPr>
        <w:spacing w:after="100" w:before="120"/>
        <w:jc w:val="both"/>
      </w:pPr>
      <w:r>
        <w:rPr>
          <w:rFonts w:ascii="Arial" w:cs="Arial" w:eastAsia="Arial" w:hAnsi="Arial"/>
          <w:b w:val="false"/>
          <w:bCs w:val="false"/>
          <w:i w:val="false"/>
          <w:iCs w:val="false"/>
          <w:color w:val="2D2D2D"/>
          <w:sz w:val="20"/>
          <w:szCs w:val="20"/>
        </w:rPr>
        <w:t xml:space="preserve">El universo analizado cubre operaciones desde enero de 2021 hasta la fecha de corte del reporte, garantizando suficiente profundidad histórica para identificar patrones de comportamiento sostenidos en el tiempo.</w:t>
      </w:r>
    </w:p>
    <w:p>
      <w:pPr>
        <w:pStyle w:val="Heading1"/>
        <w:pageBreakBefore/>
      </w:pPr>
      <w:r>
        <w:rPr>
          <w:rFonts w:ascii="Arial" w:cs="Arial" w:eastAsia="Arial" w:hAnsi="Arial"/>
          <w:b/>
          <w:bCs/>
          <w:color w:val="1B3A6B"/>
          <w:sz w:val="32"/>
          <w:szCs w:val="32"/>
        </w:rPr>
        <w:t xml:space="preserve">2. Contexto Regulatorio</w:t>
      </w:r>
    </w:p>
    <w:p>
      <w:pPr>
        <w:pStyle w:val="Heading2"/>
      </w:pPr>
      <w:r>
        <w:rPr>
          <w:rFonts w:ascii="Arial" w:cs="Arial" w:eastAsia="Arial" w:hAnsi="Arial"/>
          <w:b/>
          <w:bCs/>
          <w:color w:val="2E75B6"/>
          <w:sz w:val="26"/>
          <w:szCs w:val="26"/>
        </w:rPr>
        <w:t xml:space="preserve">2.1  Requerimiento SFC — DRLAFT 2026</w:t>
      </w:r>
    </w:p>
    <w:p>
      <w:pPr>
        <w:spacing w:after="100" w:before="60"/>
        <w:jc w:val="both"/>
      </w:pPr>
      <w:r>
        <w:rPr>
          <w:rFonts w:ascii="Arial" w:cs="Arial" w:eastAsia="Arial" w:hAnsi="Arial"/>
          <w:b w:val="false"/>
          <w:bCs w:val="false"/>
          <w:i w:val="false"/>
          <w:iCs w:val="false"/>
          <w:color w:val="2D2D2D"/>
          <w:sz w:val="20"/>
          <w:szCs w:val="20"/>
        </w:rPr>
        <w:t xml:space="preserve">La Superintendencia Financiera de Colombia, mediante el ejercicio DRLAFT 2026, solicitó a las entidades vigiladas un reporte detallado sobre su exposición a activos virtuales y los controles implementados para gestionar el riesgo AML asociado. Global66, como plataforma de remesas y pagos internacionales que opera con instrumentos relacionados a activos virtuales (Bridge, stablecoins y criptomonedas), está en el alcance de este requerimiento.</w:t>
      </w:r>
    </w:p>
    <w:p>
      <w:pPr>
        <w:pStyle w:val="Heading2"/>
      </w:pPr>
      <w:r>
        <w:rPr>
          <w:rFonts w:ascii="Arial" w:cs="Arial" w:eastAsia="Arial" w:hAnsi="Arial"/>
          <w:b/>
          <w:bCs/>
          <w:color w:val="2E75B6"/>
          <w:sz w:val="26"/>
          <w:szCs w:val="26"/>
        </w:rPr>
        <w:t xml:space="preserve">2.2  Marco normativo aplicable</w:t>
      </w:r>
    </w:p>
    <w:p>
      <w:pPr>
        <w:pStyle w:val="ListParagraph"/>
        <w:numPr>
          <w:ilvl w:val="0"/>
          <w:numId w:val="2"/>
        </w:numPr>
        <w:spacing w:after="40" w:before="40"/>
      </w:pPr>
      <w:r>
        <w:rPr>
          <w:rFonts w:ascii="Arial" w:cs="Arial" w:eastAsia="Arial" w:hAnsi="Arial"/>
          <w:color w:val="2D2D2D"/>
          <w:sz w:val="20"/>
          <w:szCs w:val="20"/>
        </w:rPr>
        <w:t xml:space="preserve">Circular Externa 027 de 2020 (SARLAFT 4.0)</w:t>
      </w:r>
    </w:p>
    <w:p>
      <w:pPr>
        <w:pStyle w:val="ListParagraph"/>
        <w:numPr>
          <w:ilvl w:val="0"/>
          <w:numId w:val="2"/>
        </w:numPr>
        <w:spacing w:after="40" w:before="40"/>
      </w:pPr>
      <w:r>
        <w:rPr>
          <w:rFonts w:ascii="Arial" w:cs="Arial" w:eastAsia="Arial" w:hAnsi="Arial"/>
          <w:color w:val="2D2D2D"/>
          <w:sz w:val="20"/>
          <w:szCs w:val="20"/>
        </w:rPr>
        <w:t xml:space="preserve">Decreto 1234 de 2022 — Regulación de Activos Virtuales en Colombia</w:t>
      </w:r>
    </w:p>
    <w:p>
      <w:pPr>
        <w:pStyle w:val="ListParagraph"/>
        <w:numPr>
          <w:ilvl w:val="0"/>
          <w:numId w:val="2"/>
        </w:numPr>
        <w:spacing w:after="40" w:before="40"/>
      </w:pPr>
      <w:r>
        <w:rPr>
          <w:rFonts w:ascii="Arial" w:cs="Arial" w:eastAsia="Arial" w:hAnsi="Arial"/>
          <w:color w:val="2D2D2D"/>
          <w:sz w:val="20"/>
          <w:szCs w:val="20"/>
        </w:rPr>
        <w:t xml:space="preserve">Recomendaciones GAFI sobre Activos Virtuales y Proveedores de Servicios</w:t>
      </w:r>
    </w:p>
    <w:p>
      <w:pPr>
        <w:pStyle w:val="ListParagraph"/>
        <w:numPr>
          <w:ilvl w:val="0"/>
          <w:numId w:val="2"/>
        </w:numPr>
        <w:spacing w:after="40" w:before="40"/>
      </w:pPr>
      <w:r>
        <w:rPr>
          <w:rFonts w:ascii="Arial" w:cs="Arial" w:eastAsia="Arial" w:hAnsi="Arial"/>
          <w:color w:val="2D2D2D"/>
          <w:sz w:val="20"/>
          <w:szCs w:val="20"/>
        </w:rPr>
        <w:t xml:space="preserve">Política Interna de Prevención LA/FT/FPADM — Global66</w:t>
      </w:r>
    </w:p>
    <w:p>
      <w:pPr>
        <w:pStyle w:val="Heading2"/>
      </w:pPr>
      <w:r>
        <w:rPr>
          <w:rFonts w:ascii="Arial" w:cs="Arial" w:eastAsia="Arial" w:hAnsi="Arial"/>
          <w:b/>
          <w:bCs/>
          <w:color w:val="2E75B6"/>
          <w:sz w:val="26"/>
          <w:szCs w:val="26"/>
        </w:rPr>
        <w:t xml:space="preserve">2.3  Definición operativa: ¿Qué es un activo virtual en este modelo?</w:t>
      </w:r>
    </w:p>
    <w:p>
      <w:pPr>
        <w:spacing w:after="100" w:before="60"/>
        <w:jc w:val="both"/>
      </w:pPr>
      <w:r>
        <w:rPr>
          <w:rFonts w:ascii="Arial" w:cs="Arial" w:eastAsia="Arial" w:hAnsi="Arial"/>
          <w:b w:val="false"/>
          <w:bCs w:val="false"/>
          <w:i w:val="false"/>
          <w:iCs w:val="false"/>
          <w:color w:val="2D2D2D"/>
          <w:sz w:val="20"/>
          <w:szCs w:val="20"/>
        </w:rPr>
        <w:t xml:space="preserve">Para efectos de este modelo, se considera que un cliente tiene exposición a activos virtuales cuando cualquiera de las siguientes condiciones se cumple en sus operaciones:</w:t>
      </w:r>
    </w:p>
    <w:p>
      <w:pPr>
        <w:pStyle w:val="ListParagraph"/>
        <w:numPr>
          <w:ilvl w:val="0"/>
          <w:numId w:val="2"/>
        </w:numPr>
        <w:spacing w:after="40" w:before="40"/>
      </w:pPr>
      <w:r>
        <w:rPr>
          <w:rFonts w:ascii="Arial" w:cs="Arial" w:eastAsia="Arial" w:hAnsi="Arial"/>
          <w:color w:val="2D2D2D"/>
          <w:sz w:val="20"/>
          <w:szCs w:val="20"/>
        </w:rPr>
        <w:t xml:space="preserve">Usa el método de pago Bridge (puente hacia redes blockchain)</w:t>
      </w:r>
    </w:p>
    <w:p>
      <w:pPr>
        <w:pStyle w:val="ListParagraph"/>
        <w:numPr>
          <w:ilvl w:val="0"/>
          <w:numId w:val="2"/>
        </w:numPr>
        <w:spacing w:after="40" w:before="40"/>
      </w:pPr>
      <w:r>
        <w:rPr>
          <w:rFonts w:ascii="Arial" w:cs="Arial" w:eastAsia="Arial" w:hAnsi="Arial"/>
          <w:color w:val="2D2D2D"/>
          <w:sz w:val="20"/>
          <w:szCs w:val="20"/>
        </w:rPr>
        <w:t xml:space="preserve">Opera con monedas clasificadas como criptomonedas o stablecoins (USDT, USDC, BTC, ETH, entre otras)</w:t>
      </w:r>
    </w:p>
    <w:p>
      <w:pPr>
        <w:pStyle w:val="ListParagraph"/>
        <w:numPr>
          <w:ilvl w:val="0"/>
          <w:numId w:val="2"/>
        </w:numPr>
        <w:spacing w:after="40" w:before="40"/>
      </w:pPr>
      <w:r>
        <w:rPr>
          <w:rFonts w:ascii="Arial" w:cs="Arial" w:eastAsia="Arial" w:hAnsi="Arial"/>
          <w:color w:val="2D2D2D"/>
          <w:sz w:val="20"/>
          <w:szCs w:val="20"/>
        </w:rPr>
        <w:t xml:space="preserve">Realiza fondeos (cash calls) con divisas cripto</w:t>
      </w:r>
    </w:p>
    <w:p>
      <w:pPr>
        <w:pStyle w:val="Heading1"/>
        <w:pageBreakBefore/>
      </w:pPr>
      <w:r>
        <w:rPr>
          <w:rFonts w:ascii="Arial" w:cs="Arial" w:eastAsia="Arial" w:hAnsi="Arial"/>
          <w:b/>
          <w:bCs/>
          <w:color w:val="1B3A6B"/>
          <w:sz w:val="32"/>
          <w:szCs w:val="32"/>
        </w:rPr>
        <w:t xml:space="preserve">3. Alcance y Fuentes de Información</w:t>
      </w:r>
    </w:p>
    <w:p>
      <w:pPr>
        <w:pStyle w:val="Heading2"/>
      </w:pPr>
      <w:r>
        <w:rPr>
          <w:rFonts w:ascii="Arial" w:cs="Arial" w:eastAsia="Arial" w:hAnsi="Arial"/>
          <w:b/>
          <w:bCs/>
          <w:color w:val="2E75B6"/>
          <w:sz w:val="26"/>
          <w:szCs w:val="26"/>
        </w:rPr>
        <w:t xml:space="preserve">3.1  Período de análisis</w:t>
      </w:r>
    </w:p>
    <w:p>
      <w:pPr>
        <w:spacing w:after="100" w:before="60"/>
        <w:jc w:val="both"/>
      </w:pPr>
      <w:r>
        <w:rPr>
          <w:rFonts w:ascii="Arial" w:cs="Arial" w:eastAsia="Arial" w:hAnsi="Arial"/>
          <w:b w:val="false"/>
          <w:bCs w:val="false"/>
          <w:i w:val="false"/>
          <w:iCs w:val="false"/>
          <w:color w:val="2D2D2D"/>
          <w:sz w:val="20"/>
          <w:szCs w:val="20"/>
        </w:rPr>
        <w:t xml:space="preserve">El modelo cubre todas las operaciones registradas desde enero de 2021 hasta la fecha de corte del reporte. Esto garantiza una visión histórica suficiente para identificar patrones de comportamiento sostenidos en el tiempo.</w:t>
      </w:r>
    </w:p>
    <w:p>
      <w:pPr>
        <w:pStyle w:val="Heading2"/>
      </w:pPr>
      <w:r>
        <w:rPr>
          <w:rFonts w:ascii="Arial" w:cs="Arial" w:eastAsia="Arial" w:hAnsi="Arial"/>
          <w:b/>
          <w:bCs/>
          <w:color w:val="2E75B6"/>
          <w:sz w:val="26"/>
          <w:szCs w:val="26"/>
        </w:rPr>
        <w:t xml:space="preserve">3.2  Tipos de operaciones analizadas</w:t>
      </w:r>
    </w:p>
    <w:p>
      <w:pPr>
        <w:pStyle w:val="Heading3"/>
      </w:pPr>
      <w:r>
        <w:rPr>
          <w:rFonts w:ascii="Arial" w:cs="Arial" w:eastAsia="Arial" w:hAnsi="Arial"/>
          <w:b/>
          <w:bCs/>
          <w:color w:val="596579"/>
          <w:sz w:val="22"/>
          <w:szCs w:val="22"/>
        </w:rPr>
        <w:t xml:space="preserve">Transacciones</w:t>
      </w:r>
    </w:p>
    <w:p>
      <w:pPr>
        <w:spacing w:after="100" w:before="60"/>
        <w:jc w:val="both"/>
      </w:pPr>
      <w:r>
        <w:rPr>
          <w:rFonts w:ascii="Arial" w:cs="Arial" w:eastAsia="Arial" w:hAnsi="Arial"/>
          <w:b w:val="false"/>
          <w:bCs w:val="false"/>
          <w:i w:val="false"/>
          <w:iCs w:val="false"/>
          <w:color w:val="2D2D2D"/>
          <w:sz w:val="20"/>
          <w:szCs w:val="20"/>
        </w:rPr>
        <w:t xml:space="preserve">Transferencias de dinero completadas exitosamente a través de la plataforma. Se incluyen operaciones internacionales y nacionales donde el cliente usó un método de pago o moneda con exposición a activos virtuales.</w:t>
      </w:r>
    </w:p>
    <w:p>
      <w:pPr>
        <w:pStyle w:val="Heading3"/>
      </w:pPr>
      <w:r>
        <w:rPr>
          <w:rFonts w:ascii="Arial" w:cs="Arial" w:eastAsia="Arial" w:hAnsi="Arial"/>
          <w:b/>
          <w:bCs/>
          <w:color w:val="596579"/>
          <w:sz w:val="22"/>
          <w:szCs w:val="22"/>
        </w:rPr>
        <w:t xml:space="preserve">Cash Calls (fondeos y retiros)</w:t>
      </w:r>
    </w:p>
    <w:p>
      <w:pPr>
        <w:spacing w:after="100" w:before="60"/>
        <w:jc w:val="both"/>
      </w:pPr>
      <w:r>
        <w:rPr>
          <w:rFonts w:ascii="Arial" w:cs="Arial" w:eastAsia="Arial" w:hAnsi="Arial"/>
          <w:b w:val="false"/>
          <w:bCs w:val="false"/>
          <w:i w:val="false"/>
          <w:iCs w:val="false"/>
          <w:color w:val="2D2D2D"/>
          <w:sz w:val="20"/>
          <w:szCs w:val="20"/>
        </w:rPr>
        <w:t xml:space="preserve">Movimientos de capital hacia y desde la cuenta del cliente, clasificados en:</w:t>
      </w:r>
    </w:p>
    <w:p>
      <w:pPr>
        <w:pStyle w:val="ListParagraph"/>
        <w:numPr>
          <w:ilvl w:val="0"/>
          <w:numId w:val="2"/>
        </w:numPr>
        <w:spacing w:after="40" w:before="40"/>
      </w:pPr>
      <w:r>
        <w:rPr>
          <w:rFonts w:ascii="Arial" w:cs="Arial" w:eastAsia="Arial" w:hAnsi="Arial"/>
          <w:b/>
          <w:bCs/>
          <w:color w:val="2D2D2D"/>
          <w:sz w:val="20"/>
          <w:szCs w:val="20"/>
        </w:rPr>
        <w:t xml:space="preserve">Fondeo o entrada de dinero al cliente</w:t>
      </w:r>
      <w:r>
        <w:rPr>
          <w:rFonts w:ascii="Arial" w:cs="Arial" w:eastAsia="Arial" w:hAnsi="Arial"/>
          <w:color w:val="2D2D2D"/>
          <w:sz w:val="20"/>
          <w:szCs w:val="20"/>
        </w:rPr>
        <w:t xml:space="preserve">CR (Credit): </w:t>
      </w:r>
    </w:p>
    <w:p>
      <w:pPr>
        <w:pStyle w:val="ListParagraph"/>
        <w:numPr>
          <w:ilvl w:val="0"/>
          <w:numId w:val="2"/>
        </w:numPr>
        <w:spacing w:after="40" w:before="40"/>
      </w:pPr>
      <w:r>
        <w:rPr>
          <w:rFonts w:ascii="Arial" w:cs="Arial" w:eastAsia="Arial" w:hAnsi="Arial"/>
          <w:b/>
          <w:bCs/>
          <w:color w:val="2D2D2D"/>
          <w:sz w:val="20"/>
          <w:szCs w:val="20"/>
        </w:rPr>
        <w:t xml:space="preserve">Retiro o salida de dinero desde la cuenta del cliente</w:t>
      </w:r>
      <w:r>
        <w:rPr>
          <w:rFonts w:ascii="Arial" w:cs="Arial" w:eastAsia="Arial" w:hAnsi="Arial"/>
          <w:color w:val="2D2D2D"/>
          <w:sz w:val="20"/>
          <w:szCs w:val="20"/>
        </w:rPr>
        <w:t xml:space="preserve">DR (Debit): </w:t>
      </w:r>
    </w:p>
    <w:p>
      <w:pPr>
        <w:pStyle w:val="Heading3"/>
      </w:pPr>
      <w:r>
        <w:rPr>
          <w:rFonts w:ascii="Arial" w:cs="Arial" w:eastAsia="Arial" w:hAnsi="Arial"/>
          <w:b/>
          <w:bCs/>
          <w:color w:val="596579"/>
          <w:sz w:val="22"/>
          <w:szCs w:val="22"/>
        </w:rPr>
        <w:t xml:space="preserve">Transacciones P2P y Exchange</w:t>
      </w:r>
    </w:p>
    <w:p>
      <w:pPr>
        <w:spacing w:after="100" w:before="60"/>
        <w:jc w:val="both"/>
      </w:pPr>
      <w:r>
        <w:rPr>
          <w:rFonts w:ascii="Arial" w:cs="Arial" w:eastAsia="Arial" w:hAnsi="Arial"/>
          <w:b w:val="false"/>
          <w:bCs w:val="false"/>
          <w:i w:val="false"/>
          <w:iCs w:val="false"/>
          <w:color w:val="2D2D2D"/>
          <w:sz w:val="20"/>
          <w:szCs w:val="20"/>
        </w:rPr>
        <w:t xml:space="preserve">Operaciones entre usuarios de la plataforma o a través de canales de intercambio, incluyendo compraventa de divisas y operaciones tipo money desk.</w:t>
      </w:r>
    </w:p>
    <w:p>
      <w:pPr>
        <w:pStyle w:val="Heading2"/>
      </w:pPr>
      <w:r>
        <w:rPr>
          <w:rFonts w:ascii="Arial" w:cs="Arial" w:eastAsia="Arial" w:hAnsi="Arial"/>
          <w:b/>
          <w:bCs/>
          <w:color w:val="2E75B6"/>
          <w:sz w:val="26"/>
          <w:szCs w:val="26"/>
        </w:rPr>
        <w:t xml:space="preserve">3.3  Criterios de inclusión</w:t>
      </w:r>
    </w:p>
    <w:p>
      <w:pPr>
        <w:spacing w:after="100" w:before="60"/>
        <w:jc w:val="both"/>
      </w:pPr>
      <w:r>
        <w:rPr>
          <w:rFonts w:ascii="Arial" w:cs="Arial" w:eastAsia="Arial" w:hAnsi="Arial"/>
          <w:b w:val="false"/>
          <w:bCs w:val="false"/>
          <w:i w:val="false"/>
          <w:iCs w:val="false"/>
          <w:color w:val="2D2D2D"/>
          <w:sz w:val="20"/>
          <w:szCs w:val="20"/>
        </w:rPr>
        <w:t xml:space="preserve">Un cliente es incluido en el universo AV/KYT si tiene al menos una operación que cumpla los criterios de exposición AV. No se requiere que todas sus operaciones sean de este tipo; basta con que exista una operación con exposición a activos virtuales.</w:t>
      </w:r>
    </w:p>
    <w:p>
      <w:pPr>
        <w:pStyle w:val="Heading1"/>
        <w:pageBreakBefore/>
      </w:pPr>
      <w:r>
        <w:rPr>
          <w:rFonts w:ascii="Arial" w:cs="Arial" w:eastAsia="Arial" w:hAnsi="Arial"/>
          <w:b/>
          <w:bCs/>
          <w:color w:val="1B3A6B"/>
          <w:sz w:val="32"/>
          <w:szCs w:val="32"/>
        </w:rPr>
        <w:t xml:space="preserve">4. Universo de Clientes con Exposición AV</w:t>
      </w:r>
    </w:p>
    <w:p>
      <w:pPr>
        <w:pStyle w:val="Heading2"/>
      </w:pPr>
      <w:r>
        <w:rPr>
          <w:rFonts w:ascii="Arial" w:cs="Arial" w:eastAsia="Arial" w:hAnsi="Arial"/>
          <w:b/>
          <w:bCs/>
          <w:color w:val="2E75B6"/>
          <w:sz w:val="26"/>
          <w:szCs w:val="26"/>
        </w:rPr>
        <w:t xml:space="preserve">4.1  Tamaño del universo</w:t>
      </w:r>
    </w:p>
    <w:p>
      <w:pPr>
        <w:spacing w:after="100" w:before="60"/>
        <w:jc w:val="both"/>
      </w:pPr>
      <w:r>
        <w:rPr>
          <w:rFonts w:ascii="Arial" w:cs="Arial" w:eastAsia="Arial" w:hAnsi="Arial"/>
          <w:b w:val="false"/>
          <w:bCs w:val="false"/>
          <w:i w:val="false"/>
          <w:iCs w:val="false"/>
          <w:color w:val="2D2D2D"/>
          <w:sz w:val="20"/>
          <w:szCs w:val="20"/>
        </w:rPr>
        <w:t xml:space="preserve">El modelo identificó 8.268 clientes únicos con al menos una operación con exposición a activos virtuales en el período analizado. Este grupo representa el universo sobre el cual se aplican las 10 señales de detección AML.</w:t>
      </w:r>
    </w:p>
    <w:p>
      <w:pPr>
        <w:pStyle w:val="Heading2"/>
      </w:pPr>
      <w:r>
        <w:rPr>
          <w:rFonts w:ascii="Arial" w:cs="Arial" w:eastAsia="Arial" w:hAnsi="Arial"/>
          <w:b/>
          <w:bCs/>
          <w:color w:val="2E75B6"/>
          <w:sz w:val="26"/>
          <w:szCs w:val="26"/>
        </w:rPr>
        <w:t xml:space="preserve">4.2  Perfil del universo</w:t>
      </w:r>
    </w:p>
    <w:p>
      <w:pPr>
        <w:spacing w:after="100" w:before="60"/>
        <w:jc w:val="both"/>
      </w:pPr>
      <w:r>
        <w:rPr>
          <w:rFonts w:ascii="Arial" w:cs="Arial" w:eastAsia="Arial" w:hAnsi="Arial"/>
          <w:b w:val="false"/>
          <w:bCs w:val="false"/>
          <w:i w:val="false"/>
          <w:iCs w:val="false"/>
          <w:color w:val="2D2D2D"/>
          <w:sz w:val="20"/>
          <w:szCs w:val="20"/>
        </w:rPr>
        <w:t xml:space="preserve">Para cada cliente del universo, el modelo construye un perfil que incluye:</w:t>
      </w:r>
    </w:p>
    <w:p>
      <w:pPr>
        <w:pStyle w:val="ListParagraph"/>
        <w:numPr>
          <w:ilvl w:val="0"/>
          <w:numId w:val="2"/>
        </w:numPr>
        <w:spacing w:after="40" w:before="40"/>
      </w:pPr>
      <w:r>
        <w:rPr>
          <w:rFonts w:ascii="Arial" w:cs="Arial" w:eastAsia="Arial" w:hAnsi="Arial"/>
          <w:color w:val="2D2D2D"/>
          <w:sz w:val="20"/>
          <w:szCs w:val="20"/>
        </w:rPr>
        <w:t xml:space="preserve">Volumen total operado en activos virtuales (en USD)</w:t>
      </w:r>
    </w:p>
    <w:p>
      <w:pPr>
        <w:pStyle w:val="ListParagraph"/>
        <w:numPr>
          <w:ilvl w:val="0"/>
          <w:numId w:val="2"/>
        </w:numPr>
        <w:spacing w:after="40" w:before="40"/>
      </w:pPr>
      <w:r>
        <w:rPr>
          <w:rFonts w:ascii="Arial" w:cs="Arial" w:eastAsia="Arial" w:hAnsi="Arial"/>
          <w:color w:val="2D2D2D"/>
          <w:sz w:val="20"/>
          <w:szCs w:val="20"/>
        </w:rPr>
        <w:t xml:space="preserve">Número total de operaciones AV realizadas</w:t>
      </w:r>
    </w:p>
    <w:p>
      <w:pPr>
        <w:pStyle w:val="ListParagraph"/>
        <w:numPr>
          <w:ilvl w:val="0"/>
          <w:numId w:val="2"/>
        </w:numPr>
        <w:spacing w:after="40" w:before="40"/>
      </w:pPr>
      <w:r>
        <w:rPr>
          <w:rFonts w:ascii="Arial" w:cs="Arial" w:eastAsia="Arial" w:hAnsi="Arial"/>
          <w:color w:val="2D2D2D"/>
          <w:sz w:val="20"/>
          <w:szCs w:val="20"/>
        </w:rPr>
        <w:t xml:space="preserve">Antigüedad como cliente de la plataforma</w:t>
      </w:r>
    </w:p>
    <w:p>
      <w:pPr>
        <w:pStyle w:val="ListParagraph"/>
        <w:numPr>
          <w:ilvl w:val="0"/>
          <w:numId w:val="2"/>
        </w:numPr>
        <w:spacing w:after="40" w:before="40"/>
      </w:pPr>
      <w:r>
        <w:rPr>
          <w:rFonts w:ascii="Arial" w:cs="Arial" w:eastAsia="Arial" w:hAnsi="Arial"/>
          <w:color w:val="2D2D2D"/>
          <w:sz w:val="20"/>
          <w:szCs w:val="20"/>
        </w:rPr>
        <w:t xml:space="preserve">Fecha de primera y última operación AV</w:t>
      </w:r>
    </w:p>
    <w:p>
      <w:pPr>
        <w:pStyle w:val="ListParagraph"/>
        <w:numPr>
          <w:ilvl w:val="0"/>
          <w:numId w:val="2"/>
        </w:numPr>
        <w:spacing w:after="40" w:before="40"/>
      </w:pPr>
      <w:r>
        <w:rPr>
          <w:rFonts w:ascii="Arial" w:cs="Arial" w:eastAsia="Arial" w:hAnsi="Arial"/>
          <w:color w:val="2D2D2D"/>
          <w:sz w:val="20"/>
          <w:szCs w:val="20"/>
        </w:rPr>
        <w:t xml:space="preserve">Días de actividad AV en el período</w:t>
      </w:r>
    </w:p>
    <w:p>
      <w:pPr>
        <w:pStyle w:val="ListParagraph"/>
        <w:numPr>
          <w:ilvl w:val="0"/>
          <w:numId w:val="2"/>
        </w:numPr>
        <w:spacing w:after="40" w:before="40"/>
      </w:pPr>
      <w:r>
        <w:rPr>
          <w:rFonts w:ascii="Arial" w:cs="Arial" w:eastAsia="Arial" w:hAnsi="Arial"/>
          <w:color w:val="2D2D2D"/>
          <w:sz w:val="20"/>
          <w:szCs w:val="20"/>
        </w:rPr>
        <w:t xml:space="preserve">Desglose de fondeos (CR) vs retiros (DR)</w:t>
      </w:r>
    </w:p>
    <w:p>
      <w:pPr>
        <w:pStyle w:val="ListParagraph"/>
        <w:numPr>
          <w:ilvl w:val="0"/>
          <w:numId w:val="2"/>
        </w:numPr>
        <w:spacing w:after="40" w:before="40"/>
      </w:pPr>
      <w:r>
        <w:rPr>
          <w:rFonts w:ascii="Arial" w:cs="Arial" w:eastAsia="Arial" w:hAnsi="Arial"/>
          <w:color w:val="2D2D2D"/>
          <w:sz w:val="20"/>
          <w:szCs w:val="20"/>
        </w:rPr>
        <w:t xml:space="preserve">País de residencia y segmento de cliente</w:t>
      </w:r>
    </w:p>
    <w:p>
      <w:pPr>
        <w:pStyle w:val="ListParagraph"/>
        <w:numPr>
          <w:ilvl w:val="0"/>
          <w:numId w:val="2"/>
        </w:numPr>
        <w:spacing w:after="40" w:before="40"/>
      </w:pPr>
      <w:r>
        <w:rPr>
          <w:rFonts w:ascii="Arial" w:cs="Arial" w:eastAsia="Arial" w:hAnsi="Arial"/>
          <w:color w:val="2D2D2D"/>
          <w:sz w:val="20"/>
          <w:szCs w:val="20"/>
        </w:rPr>
        <w:t xml:space="preserve">Nivel de riesgo asignado por el sistema de compliance</w:t>
      </w:r>
    </w:p>
    <w:p>
      <w:pPr>
        <w:pStyle w:val="ListParagraph"/>
        <w:numPr>
          <w:ilvl w:val="0"/>
          <w:numId w:val="2"/>
        </w:numPr>
        <w:spacing w:after="40" w:before="40"/>
      </w:pPr>
      <w:r>
        <w:rPr>
          <w:rFonts w:ascii="Arial" w:cs="Arial" w:eastAsia="Arial" w:hAnsi="Arial"/>
          <w:color w:val="2D2D2D"/>
          <w:sz w:val="20"/>
          <w:szCs w:val="20"/>
        </w:rPr>
        <w:t xml:space="preserve">Estado de cumplimiento (compliance status)</w:t>
      </w:r>
    </w:p>
    <w:p>
      <w:pPr>
        <w:pStyle w:val="Heading2"/>
      </w:pPr>
      <w:r>
        <w:rPr>
          <w:rFonts w:ascii="Arial" w:cs="Arial" w:eastAsia="Arial" w:hAnsi="Arial"/>
          <w:b/>
          <w:bCs/>
          <w:color w:val="2E75B6"/>
          <w:sz w:val="26"/>
          <w:szCs w:val="26"/>
        </w:rPr>
        <w:t xml:space="preserve">4.3  Scoring dimensional</w:t>
      </w:r>
    </w:p>
    <w:p>
      <w:pPr>
        <w:spacing w:after="100" w:before="60"/>
        <w:jc w:val="both"/>
      </w:pPr>
      <w:r>
        <w:rPr>
          <w:rFonts w:ascii="Arial" w:cs="Arial" w:eastAsia="Arial" w:hAnsi="Arial"/>
          <w:b w:val="false"/>
          <w:bCs w:val="false"/>
          <w:i w:val="false"/>
          <w:iCs w:val="false"/>
          <w:color w:val="2D2D2D"/>
          <w:sz w:val="20"/>
          <w:szCs w:val="20"/>
        </w:rPr>
        <w:t xml:space="preserve">Cada cliente recibe una puntuación compuesta (entre 3 y 12 puntos) que combina tres dimensiones de riesgo:</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Dimensión</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Qué evalúa</w:t>
            </w:r>
          </w:p>
        </w:tc>
        <w:tc>
          <w:tcPr>
            <w:tcW w:type="dxa" w:w="36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Puntuación máxima (4)</w:t>
            </w:r>
          </w:p>
        </w:tc>
      </w:tr>
      <w:tr>
        <w:tc>
          <w:tcPr>
            <w:tcW w:type="dxa" w:w="2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Volumen</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Monto total operado en activos virtuales</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Más de USD 100.000 acumulados</w:t>
            </w:r>
          </w:p>
        </w:tc>
      </w:tr>
      <w:tr>
        <w:tc>
          <w:tcPr>
            <w:tcW w:type="dxa" w:w="2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Antigüedad</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Qué tan nuevo es el cliente en la plataforma</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Menos de 30 días en la plataforma ya operando AV</w:t>
            </w:r>
          </w:p>
        </w:tc>
      </w:tr>
      <w:tr>
        <w:tc>
          <w:tcPr>
            <w:tcW w:type="dxa" w:w="24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Velocidad</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Rapidez con que retira fondos después de recibirlos</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Retiro en menos de 6 horas desde el último fondeo</w:t>
            </w:r>
          </w:p>
        </w:tc>
      </w:tr>
    </w:tbl>
    <w:p>
      <w:pPr>
        <w:spacing w:after="60" w:before="60"/>
      </w:pPr>
      <w:r>
        <w:rPr>
          <w:rFonts w:ascii="Arial" w:cs="Arial" w:eastAsia="Arial" w:hAnsi="Arial"/>
        </w:rPr>
        <w:t xml:space="preserve"/>
      </w:r>
    </w:p>
    <w:p>
      <w:pPr>
        <w:spacing w:after="100" w:before="60"/>
        <w:jc w:val="both"/>
      </w:pPr>
      <w:r>
        <w:rPr>
          <w:rFonts w:ascii="Arial" w:cs="Arial" w:eastAsia="Arial" w:hAnsi="Arial"/>
          <w:b w:val="false"/>
          <w:bCs w:val="false"/>
          <w:i/>
          <w:iCs/>
          <w:color w:val="596579"/>
          <w:sz w:val="20"/>
          <w:szCs w:val="20"/>
        </w:rPr>
        <w:t xml:space="preserve">La puntuación total permite priorizar qué clientes requieren revisión más urgente durante el proceso de análisis.</w:t>
      </w:r>
    </w:p>
    <w:p>
      <w:pPr>
        <w:pStyle w:val="Heading1"/>
        <w:pageBreakBefore/>
      </w:pPr>
      <w:r>
        <w:rPr>
          <w:rFonts w:ascii="Arial" w:cs="Arial" w:eastAsia="Arial" w:hAnsi="Arial"/>
          <w:b/>
          <w:bCs/>
          <w:color w:val="1B3A6B"/>
          <w:sz w:val="32"/>
          <w:szCs w:val="32"/>
        </w:rPr>
        <w:t xml:space="preserve">5. Las 10 Señales AML</w:t>
      </w:r>
    </w:p>
    <w:p>
      <w:pPr>
        <w:spacing w:after="100" w:before="60"/>
        <w:jc w:val="both"/>
      </w:pPr>
      <w:r>
        <w:rPr>
          <w:rFonts w:ascii="Arial" w:cs="Arial" w:eastAsia="Arial" w:hAnsi="Arial"/>
          <w:b w:val="false"/>
          <w:bCs w:val="false"/>
          <w:i w:val="false"/>
          <w:iCs w:val="false"/>
          <w:color w:val="2D2D2D"/>
          <w:sz w:val="20"/>
          <w:szCs w:val="20"/>
        </w:rPr>
        <w:t xml:space="preserve">El modelo aplica 10 señales de detección de riesgo AML sobre el universo de clientes identificado. Cada señal está diseñada para detectar un patrón específico de comportamiento que puede indicar actividad sospechosa relacionada con lavado de activos o financiación del terrorismo.</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200"/>
        <w:gridCol w:w="2560"/>
        <w:gridCol w:w="27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Señal</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Nombre</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Riesgo</w:t>
            </w:r>
          </w:p>
        </w:tc>
        <w:tc>
          <w:tcPr>
            <w:tcW w:type="dxa" w:w="2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Qué detecta</w:t>
            </w:r>
          </w:p>
        </w:tc>
        <w:tc>
          <w:tcPr>
            <w:tcW w:type="dxa" w:w="27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Por qué es sospechoso</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AV-01</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Velocidad CR→DR</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C00000"/>
                <w:sz w:val="18"/>
                <w:szCs w:val="18"/>
              </w:rPr>
              <w:t xml:space="preserve">ALTO</w:t>
            </w:r>
          </w:p>
        </w:tc>
        <w:tc>
          <w:tcPr>
            <w:tcW w:type="dxa" w:w="2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Fondeo AV seguido de retiro en menos de 24 horas</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Uso de la plataforma como canal de tránsito rápido</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AV-02</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Fraccionamiento</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C55A11"/>
                <w:sz w:val="18"/>
                <w:szCs w:val="18"/>
              </w:rPr>
              <w:t xml:space="preserve">MEDIO/ALTO</w:t>
            </w:r>
          </w:p>
        </w:tc>
        <w:tc>
          <w:tcPr>
            <w:tcW w:type="dxa" w:w="2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≥3 fondeos pequeños (&lt;USD 1.000) seguidos de retiro consolidado</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Smurfing: evasión de umbrales de reporte mediante fragmentación</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AV-03</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Red de mulas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C00000"/>
                <w:sz w:val="18"/>
                <w:szCs w:val="18"/>
              </w:rPr>
              <w:t xml:space="preserve">ALTO/CRÍTICO</w:t>
            </w:r>
          </w:p>
        </w:tc>
        <w:tc>
          <w:tcPr>
            <w:tcW w:type="dxa" w:w="2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Persona externa fondea ≥2 clientes distintos con AV</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Red de intermediarios que distribuye fondos de origen ilícito</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AV-04</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P2P + Exchange alto volumen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C55A11"/>
                <w:sz w:val="18"/>
                <w:szCs w:val="18"/>
              </w:rPr>
              <w:t xml:space="preserve">MEDIO</w:t>
            </w:r>
          </w:p>
        </w:tc>
        <w:tc>
          <w:tcPr>
            <w:tcW w:type="dxa" w:w="2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Volumen &gt;USD 5.000 en canales P2P o Exchange</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Menor trazabilidad en estos canales; posible arbitraje</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AV-05</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Cliente nuevo + alto volumen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C00000"/>
                <w:sz w:val="18"/>
                <w:szCs w:val="18"/>
              </w:rPr>
              <w:t xml:space="preserve">ALTO</w:t>
            </w:r>
          </w:p>
        </w:tc>
        <w:tc>
          <w:tcPr>
            <w:tcW w:type="dxa" w:w="2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&lt; 30 días antigüedad y &gt; USD 5.000 en AV</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Sin historial para validar perfil; posible cuenta instrumental</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AV-06</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Empresa fachada B2B</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C00000"/>
                <w:sz w:val="18"/>
                <w:szCs w:val="18"/>
              </w:rPr>
              <w:t xml:space="preserve">ALTO</w:t>
            </w:r>
          </w:p>
        </w:tc>
        <w:tc>
          <w:tcPr>
            <w:tcW w:type="dxa" w:w="2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Cliente B2B con &gt; USD 10.000 en activos virtuales</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Actividad AV inconsistente con objeto social declarado</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AV-07</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Beneficiario compartido</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C00000"/>
                <w:sz w:val="18"/>
                <w:szCs w:val="18"/>
              </w:rPr>
              <w:t xml:space="preserve">ALTO</w:t>
            </w:r>
          </w:p>
        </w:tc>
        <w:tc>
          <w:tcPr>
            <w:tcW w:type="dxa" w:w="2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≥2 clientes AV envían al mismo banco/beneficiario</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Cuenta concentradora que agrega fondos de múltiples fuentes</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AV-08</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Bridge internacional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C00000"/>
                <w:sz w:val="18"/>
                <w:szCs w:val="18"/>
              </w:rPr>
              <w:t xml:space="preserve">ALTO</w:t>
            </w:r>
          </w:p>
        </w:tc>
        <w:tc>
          <w:tcPr>
            <w:tcW w:type="dxa" w:w="2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Uso del método Bridge en transacciones</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Menor rastreabilidad vs transferencia bancaria tradicional</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AV-09</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Concentración Exchange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C55A11"/>
                <w:sz w:val="18"/>
                <w:szCs w:val="18"/>
              </w:rPr>
              <w:t xml:space="preserve">MEDIO</w:t>
            </w:r>
          </w:p>
        </w:tc>
        <w:tc>
          <w:tcPr>
            <w:tcW w:type="dxa" w:w="2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&gt;10 ops Exchange/Money Desk y &gt; USD 20.000</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Arbitraje sistemático o estructuración en canales de intercambio</w:t>
            </w:r>
          </w:p>
        </w:tc>
      </w:tr>
      <w:tr>
        <w:tc>
          <w:tcPr>
            <w:tcW w:type="dxa" w:w="9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center"/>
            </w:pPr>
            <w:r>
              <w:rPr>
                <w:rFonts w:ascii="Arial" w:cs="Arial" w:eastAsia="Arial" w:hAnsi="Arial"/>
                <w:b/>
                <w:bCs/>
                <w:color w:val="2E75B6"/>
                <w:sz w:val="18"/>
                <w:szCs w:val="18"/>
              </w:rPr>
              <w:t xml:space="preserve">AV-10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18"/>
                <w:szCs w:val="18"/>
              </w:rPr>
              <w:t xml:space="preserve">Circularidad de fondos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color w:val="C00000"/>
                <w:sz w:val="18"/>
                <w:szCs w:val="18"/>
              </w:rPr>
              <w:t xml:space="preserve">CRÍTICO</w:t>
            </w:r>
          </w:p>
        </w:tc>
        <w:tc>
          <w:tcPr>
            <w:tcW w:type="dxa" w:w="2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DNI del cliente aparece como remitente en cuentas de otros clientes AV</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18"/>
                <w:szCs w:val="18"/>
              </w:rPr>
              <w:t xml:space="preserve">Triangulación: el dinero regresa al origen por ruta diferente</w:t>
            </w:r>
          </w:p>
        </w:tc>
      </w:tr>
    </w:tbl>
    <w:p>
      <w:pPr>
        <w:spacing w:after="60" w:before="60"/>
      </w:pPr>
      <w:r>
        <w:rPr>
          <w:rFonts w:ascii="Arial" w:cs="Arial" w:eastAsia="Arial" w:hAnsi="Arial"/>
        </w:rPr>
        <w:t xml:space="preserve"/>
      </w:r>
    </w:p>
    <w:p>
      <w:pPr>
        <w:pStyle w:val="Heading2"/>
      </w:pPr>
      <w:r>
        <w:rPr>
          <w:rFonts w:ascii="Arial" w:cs="Arial" w:eastAsia="Arial" w:hAnsi="Arial"/>
          <w:b/>
          <w:bCs/>
          <w:color w:val="2E75B6"/>
          <w:sz w:val="26"/>
          <w:szCs w:val="26"/>
        </w:rPr>
        <w:t xml:space="preserve">Detalle de cada señal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AV-01  —  Velocidad de fondeo y retiro</w:t>
            </w:r>
            <w:r>
              <w:rPr>
                <w:rFonts w:ascii="Arial" w:cs="Arial" w:eastAsia="Arial" w:hAnsi="Arial"/>
                <w:b/>
                <w:bCs/>
                <w:color w:val="FFD700"/>
                <w:sz w:val="22"/>
                <w:szCs w:val="22"/>
              </w:rPr>
              <w:t xml:space="preserve">   RIESGO ALTO</w:t>
            </w:r>
          </w:p>
        </w:tc>
      </w:tr>
      <w:tr>
        <w:tc>
          <w:tcPr>
            <w:tcW w:type="dxa" w:w="9360"/>
            <w:tcBorders>
              <w:top w:val="none"/>
              <w:left w:val="none"/>
              <w:bottom w:val="none"/>
              <w:right w:val="none"/>
            </w:tcBorders>
            <w:shd w:fill="F2F4F7"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Qué detecta</w:t>
            </w:r>
          </w:p>
          <w:p>
            <w:pPr>
              <w:spacing w:after="80" w:before="0"/>
              <w:jc w:val="both"/>
            </w:pPr>
            <w:r>
              <w:rPr>
                <w:rFonts w:ascii="Arial" w:cs="Arial" w:eastAsia="Arial" w:hAnsi="Arial"/>
                <w:color w:val="2D2D2D"/>
                <w:sz w:val="20"/>
                <w:szCs w:val="20"/>
              </w:rPr>
              <w:t xml:space="preserve">Clientes que reciben un fondeo en activos virtuales (CR) y realizan un retiro de dinero (DR) en un período menor a 24 horas. Este comportamiento es típico del uso de la plataforma como canal de tránsito para mover fondos rápidamente sin dejar rastro claro del origen.</w:t>
            </w:r>
          </w:p>
          <w:p>
            <w:pPr>
              <w:spacing w:after="80" w:before="80"/>
            </w:pPr>
            <w:r>
              <w:rPr>
                <w:rFonts w:ascii="Arial" w:cs="Arial" w:eastAsia="Arial" w:hAnsi="Arial"/>
                <w:b/>
                <w:bCs/>
                <w:color w:val="1B3A6B"/>
                <w:sz w:val="20"/>
                <w:szCs w:val="20"/>
              </w:rPr>
              <w:t xml:space="preserve">Por qué es sospechoso</w:t>
            </w:r>
          </w:p>
          <w:p>
            <w:pPr>
              <w:spacing w:after="80" w:before="0"/>
              <w:jc w:val="both"/>
            </w:pPr>
            <w:r>
              <w:rPr>
                <w:rFonts w:ascii="Arial" w:cs="Arial" w:eastAsia="Arial" w:hAnsi="Arial"/>
                <w:color w:val="2D2D2D"/>
                <w:sz w:val="20"/>
                <w:szCs w:val="20"/>
              </w:rPr>
              <w:t xml:space="preserve">El patrón 'entra y sale rápido' es una de las señales más clásicas del lavado de dinero en plataformas digitales. El tiempo reducido entre el fondeo y el retiro impide que el sistema de monitoreo identifique la procedencia real de los fondos.</w:t>
            </w:r>
          </w:p>
          <w:p>
            <w:pPr>
              <w:spacing w:after="60" w:before="80"/>
            </w:pPr>
            <w:r>
              <w:rPr>
                <w:rFonts w:ascii="Arial" w:cs="Arial" w:eastAsia="Arial" w:hAnsi="Arial"/>
                <w:b/>
                <w:bCs/>
                <w:color w:val="C00000"/>
                <w:sz w:val="19"/>
                <w:szCs w:val="19"/>
              </w:rPr>
              <w:t xml:space="preserve">Umbral de activación: </w:t>
            </w:r>
            <w:r>
              <w:rPr>
                <w:rFonts w:ascii="Arial" w:cs="Arial" w:eastAsia="Arial" w:hAnsi="Arial"/>
                <w:color w:val="2D2D2D"/>
                <w:sz w:val="19"/>
                <w:szCs w:val="19"/>
              </w:rPr>
              <w:t xml:space="preserve">Se genera una alerta cuando el tiempo entre el último fondeo AV (CR) y el último retiro (DR) del cliente es menor a 24 horas.</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AV-02  —  Fraccionamiento de operaciones (Smurfing)</w:t>
            </w:r>
            <w:r>
              <w:rPr>
                <w:rFonts w:ascii="Arial" w:cs="Arial" w:eastAsia="Arial" w:hAnsi="Arial"/>
                <w:b/>
                <w:bCs/>
                <w:color w:val="FFD700"/>
                <w:sz w:val="22"/>
                <w:szCs w:val="22"/>
              </w:rPr>
              <w:t xml:space="preserve">   RIESGO MEDIO / ALTO</w:t>
            </w:r>
          </w:p>
        </w:tc>
      </w:tr>
      <w:tr>
        <w:tc>
          <w:tcPr>
            <w:tcW w:type="dxa" w:w="9360"/>
            <w:tcBorders>
              <w:top w:val="none"/>
              <w:left w:val="none"/>
              <w:bottom w:val="none"/>
              <w:right w:val="none"/>
            </w:tcBorders>
            <w:shd w:fill="F2F4F7"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Qué detecta</w:t>
            </w:r>
          </w:p>
          <w:p>
            <w:pPr>
              <w:spacing w:after="80" w:before="0"/>
              <w:jc w:val="both"/>
            </w:pPr>
            <w:r>
              <w:rPr>
                <w:rFonts w:ascii="Arial" w:cs="Arial" w:eastAsia="Arial" w:hAnsi="Arial"/>
                <w:color w:val="2D2D2D"/>
                <w:sz w:val="20"/>
                <w:szCs w:val="20"/>
              </w:rPr>
              <w:t xml:space="preserve">Clientes que realizan 3 o más fondeos de montos pequeños (menores a USD 1.000 cada uno) seguidos de un retiro consolidado de mayor valor.</w:t>
            </w:r>
          </w:p>
          <w:p>
            <w:pPr>
              <w:spacing w:after="80" w:before="80"/>
            </w:pPr>
            <w:r>
              <w:rPr>
                <w:rFonts w:ascii="Arial" w:cs="Arial" w:eastAsia="Arial" w:hAnsi="Arial"/>
                <w:b/>
                <w:bCs/>
                <w:color w:val="1B3A6B"/>
                <w:sz w:val="20"/>
                <w:szCs w:val="20"/>
              </w:rPr>
              <w:t xml:space="preserve">Por qué es sospechoso</w:t>
            </w:r>
          </w:p>
          <w:p>
            <w:pPr>
              <w:spacing w:after="80" w:before="0"/>
              <w:jc w:val="both"/>
            </w:pPr>
            <w:r>
              <w:rPr>
                <w:rFonts w:ascii="Arial" w:cs="Arial" w:eastAsia="Arial" w:hAnsi="Arial"/>
                <w:color w:val="2D2D2D"/>
                <w:sz w:val="20"/>
                <w:szCs w:val="20"/>
              </w:rPr>
              <w:t xml:space="preserve">El fraccionamiento deliberado de operaciones por debajo de umbrales de reporte es una técnica conocida como 'smurfing'. El objetivo es evadir los controles automáticos que se activan a partir de ciertos montos. Cuando múltiples ingresos pequeños son seguidos por una salida mayor, el patrón sugiere consolidación de fondos de posible origen ilícito.</w:t>
            </w:r>
          </w:p>
          <w:p>
            <w:pPr>
              <w:spacing w:after="60" w:before="80"/>
            </w:pPr>
            <w:r>
              <w:rPr>
                <w:rFonts w:ascii="Arial" w:cs="Arial" w:eastAsia="Arial" w:hAnsi="Arial"/>
                <w:b/>
                <w:bCs/>
                <w:color w:val="C55A11"/>
                <w:sz w:val="19"/>
                <w:szCs w:val="19"/>
              </w:rPr>
              <w:t xml:space="preserve">Umbral de activación: </w:t>
            </w:r>
            <w:r>
              <w:rPr>
                <w:rFonts w:ascii="Arial" w:cs="Arial" w:eastAsia="Arial" w:hAnsi="Arial"/>
                <w:color w:val="2D2D2D"/>
                <w:sz w:val="19"/>
                <w:szCs w:val="19"/>
              </w:rPr>
              <w:t xml:space="preserve">3 o más fondeos CR menores a USD 1.000 cada uno, seguidos de al menos un retiro DR. El nivel sube a ALTO cuando hay 10 o más fondeos fraccionados con un retiro que consume más del 80% de lo fondeado.</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AV-03  —  Red de mulas financieras</w:t>
            </w:r>
            <w:r>
              <w:rPr>
                <w:rFonts w:ascii="Arial" w:cs="Arial" w:eastAsia="Arial" w:hAnsi="Arial"/>
                <w:b/>
                <w:bCs/>
                <w:color w:val="FFD700"/>
                <w:sz w:val="22"/>
                <w:szCs w:val="22"/>
              </w:rPr>
              <w:t xml:space="preserve">   RIESGO MEDIO / CRÍTICO</w:t>
            </w:r>
          </w:p>
        </w:tc>
      </w:tr>
      <w:tr>
        <w:tc>
          <w:tcPr>
            <w:tcW w:type="dxa" w:w="9360"/>
            <w:tcBorders>
              <w:top w:val="none"/>
              <w:left w:val="none"/>
              <w:bottom w:val="none"/>
              <w:right w:val="none"/>
            </w:tcBorders>
            <w:shd w:fill="F2F4F7"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Qué detecta</w:t>
            </w:r>
          </w:p>
          <w:p>
            <w:pPr>
              <w:spacing w:after="80" w:before="0"/>
              <w:jc w:val="both"/>
            </w:pPr>
            <w:r>
              <w:rPr>
                <w:rFonts w:ascii="Arial" w:cs="Arial" w:eastAsia="Arial" w:hAnsi="Arial"/>
                <w:color w:val="2D2D2D"/>
                <w:sz w:val="20"/>
                <w:szCs w:val="20"/>
              </w:rPr>
              <w:t xml:space="preserve">Personas externas (identificadas por su número de documento) que aparecen como remitentes en fondeos (CR) de 2 o más clientes distintos de la plataforma con exposición AV.</w:t>
            </w:r>
          </w:p>
          <w:p>
            <w:pPr>
              <w:spacing w:after="80" w:before="80"/>
            </w:pPr>
            <w:r>
              <w:rPr>
                <w:rFonts w:ascii="Arial" w:cs="Arial" w:eastAsia="Arial" w:hAnsi="Arial"/>
                <w:b/>
                <w:bCs/>
                <w:color w:val="1B3A6B"/>
                <w:sz w:val="20"/>
                <w:szCs w:val="20"/>
              </w:rPr>
              <w:t xml:space="preserve">Por qué es sospechoso</w:t>
            </w:r>
          </w:p>
          <w:p>
            <w:pPr>
              <w:spacing w:after="80" w:before="0"/>
              <w:jc w:val="both"/>
            </w:pPr>
            <w:r>
              <w:rPr>
                <w:rFonts w:ascii="Arial" w:cs="Arial" w:eastAsia="Arial" w:hAnsi="Arial"/>
                <w:color w:val="2D2D2D"/>
                <w:sz w:val="20"/>
                <w:szCs w:val="20"/>
              </w:rPr>
              <w:t xml:space="preserve">Cuando una misma persona externa fondea las cuentas de múltiples clientes no relacionados entre sí, esto sugiere coordinación deliberada. Este patrón es característico de redes de mulas financieras, donde una persona distribuye fondos de origen ilícito en múltiples cuentas para dificultar el rastreo. El modelo detectó 3 redes activas en el período analizado.</w:t>
            </w:r>
          </w:p>
          <w:p>
            <w:pPr>
              <w:spacing w:after="60" w:before="80"/>
            </w:pPr>
            <w:r>
              <w:rPr>
                <w:rFonts w:ascii="Arial" w:cs="Arial" w:eastAsia="Arial" w:hAnsi="Arial"/>
                <w:b/>
                <w:bCs/>
                <w:color w:val="C00000"/>
                <w:sz w:val="19"/>
                <w:szCs w:val="19"/>
              </w:rPr>
              <w:t xml:space="preserve">Umbral de activación: </w:t>
            </w:r>
            <w:r>
              <w:rPr>
                <w:rFonts w:ascii="Arial" w:cs="Arial" w:eastAsia="Arial" w:hAnsi="Arial"/>
                <w:color w:val="2D2D2D"/>
                <w:sz w:val="19"/>
                <w:szCs w:val="19"/>
              </w:rPr>
              <w:t xml:space="preserve">Un mismo documento de identidad externo aparece como remitente en cash calls tipo CR de 2 o más clientes distintos con exposición AV.</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AV-04  —  Alto volumen en canales P2P y Exchange</w:t>
            </w:r>
            <w:r>
              <w:rPr>
                <w:rFonts w:ascii="Arial" w:cs="Arial" w:eastAsia="Arial" w:hAnsi="Arial"/>
                <w:b/>
                <w:bCs/>
                <w:color w:val="FFD700"/>
                <w:sz w:val="22"/>
                <w:szCs w:val="22"/>
              </w:rPr>
              <w:t xml:space="preserve">   RIESGO MEDIO</w:t>
            </w:r>
          </w:p>
        </w:tc>
      </w:tr>
      <w:tr>
        <w:tc>
          <w:tcPr>
            <w:tcW w:type="dxa" w:w="9360"/>
            <w:tcBorders>
              <w:top w:val="none"/>
              <w:left w:val="none"/>
              <w:bottom w:val="none"/>
              <w:right w:val="none"/>
            </w:tcBorders>
            <w:shd w:fill="F2F4F7"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Qué detecta</w:t>
            </w:r>
          </w:p>
          <w:p>
            <w:pPr>
              <w:spacing w:after="80" w:before="0"/>
              <w:jc w:val="both"/>
            </w:pPr>
            <w:r>
              <w:rPr>
                <w:rFonts w:ascii="Arial" w:cs="Arial" w:eastAsia="Arial" w:hAnsi="Arial"/>
                <w:color w:val="2D2D2D"/>
                <w:sz w:val="20"/>
                <w:szCs w:val="20"/>
              </w:rPr>
              <w:t xml:space="preserve">Clientes con un volumen acumulado superior a USD 5.000 en operaciones de tipo P2P (persona a persona) o Exchange (intercambio de divisas) dentro de la plataforma.</w:t>
            </w:r>
          </w:p>
          <w:p>
            <w:pPr>
              <w:spacing w:after="80" w:before="80"/>
            </w:pPr>
            <w:r>
              <w:rPr>
                <w:rFonts w:ascii="Arial" w:cs="Arial" w:eastAsia="Arial" w:hAnsi="Arial"/>
                <w:b/>
                <w:bCs/>
                <w:color w:val="1B3A6B"/>
                <w:sz w:val="20"/>
                <w:szCs w:val="20"/>
              </w:rPr>
              <w:t xml:space="preserve">Por qué es sospechoso</w:t>
            </w:r>
          </w:p>
          <w:p>
            <w:pPr>
              <w:spacing w:after="80" w:before="0"/>
              <w:jc w:val="both"/>
            </w:pPr>
            <w:r>
              <w:rPr>
                <w:rFonts w:ascii="Arial" w:cs="Arial" w:eastAsia="Arial" w:hAnsi="Arial"/>
                <w:color w:val="2D2D2D"/>
                <w:sz w:val="20"/>
                <w:szCs w:val="20"/>
              </w:rPr>
              <w:t xml:space="preserve">Los canales P2P y de exchange tienen menor trazabilidad que las transferencias tradicionales. Un cliente con alto uso de estos canales puede estar utilizando la plataforma para arbitraje de divisas o para mover fondos de forma más difícil de rastrear.</w:t>
            </w:r>
          </w:p>
          <w:p>
            <w:pPr>
              <w:spacing w:after="60" w:before="80"/>
            </w:pPr>
            <w:r>
              <w:rPr>
                <w:rFonts w:ascii="Arial" w:cs="Arial" w:eastAsia="Arial" w:hAnsi="Arial"/>
                <w:b/>
                <w:bCs/>
                <w:color w:val="C55A11"/>
                <w:sz w:val="19"/>
                <w:szCs w:val="19"/>
              </w:rPr>
              <w:t xml:space="preserve">Umbral de activación: </w:t>
            </w:r>
            <w:r>
              <w:rPr>
                <w:rFonts w:ascii="Arial" w:cs="Arial" w:eastAsia="Arial" w:hAnsi="Arial"/>
                <w:color w:val="2D2D2D"/>
                <w:sz w:val="19"/>
                <w:szCs w:val="19"/>
              </w:rPr>
              <w:t xml:space="preserve">Suma de operaciones P2P o Exchange superior a USD 5.000.</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AV-05  —  Cliente nuevo con alto volumen AV</w:t>
            </w:r>
            <w:r>
              <w:rPr>
                <w:rFonts w:ascii="Arial" w:cs="Arial" w:eastAsia="Arial" w:hAnsi="Arial"/>
                <w:b/>
                <w:bCs/>
                <w:color w:val="FFD700"/>
                <w:sz w:val="22"/>
                <w:szCs w:val="22"/>
              </w:rPr>
              <w:t xml:space="preserve">   RIESGO ALTO</w:t>
            </w:r>
          </w:p>
        </w:tc>
      </w:tr>
      <w:tr>
        <w:tc>
          <w:tcPr>
            <w:tcW w:type="dxa" w:w="9360"/>
            <w:tcBorders>
              <w:top w:val="none"/>
              <w:left w:val="none"/>
              <w:bottom w:val="none"/>
              <w:right w:val="none"/>
            </w:tcBorders>
            <w:shd w:fill="F2F4F7"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Qué detecta</w:t>
            </w:r>
          </w:p>
          <w:p>
            <w:pPr>
              <w:spacing w:after="80" w:before="0"/>
              <w:jc w:val="both"/>
            </w:pPr>
            <w:r>
              <w:rPr>
                <w:rFonts w:ascii="Arial" w:cs="Arial" w:eastAsia="Arial" w:hAnsi="Arial"/>
                <w:color w:val="2D2D2D"/>
                <w:sz w:val="20"/>
                <w:szCs w:val="20"/>
              </w:rPr>
              <w:t xml:space="preserve">Clientes con menos de 30 días de antigüedad en la plataforma que ya acumulan más de USD 5.000 en operaciones con activos virtuales.</w:t>
            </w:r>
          </w:p>
          <w:p>
            <w:pPr>
              <w:spacing w:after="80" w:before="80"/>
            </w:pPr>
            <w:r>
              <w:rPr>
                <w:rFonts w:ascii="Arial" w:cs="Arial" w:eastAsia="Arial" w:hAnsi="Arial"/>
                <w:b/>
                <w:bCs/>
                <w:color w:val="1B3A6B"/>
                <w:sz w:val="20"/>
                <w:szCs w:val="20"/>
              </w:rPr>
              <w:t xml:space="preserve">Por qué es sospechoso</w:t>
            </w:r>
          </w:p>
          <w:p>
            <w:pPr>
              <w:spacing w:after="80" w:before="0"/>
              <w:jc w:val="both"/>
            </w:pPr>
            <w:r>
              <w:rPr>
                <w:rFonts w:ascii="Arial" w:cs="Arial" w:eastAsia="Arial" w:hAnsi="Arial"/>
                <w:color w:val="2D2D2D"/>
                <w:sz w:val="20"/>
                <w:szCs w:val="20"/>
              </w:rPr>
              <w:t xml:space="preserve">Un cliente nuevo que inmediatamente opera grandes volúmenes en activos virtuales no tiene historial suficiente para validar su perfil de riesgo. Este patrón puede indicar que la cuenta fue creada con un propósito específico y de corto plazo, o que el cliente está probando los controles de la plataforma.</w:t>
            </w:r>
          </w:p>
          <w:p>
            <w:pPr>
              <w:spacing w:after="60" w:before="80"/>
            </w:pPr>
            <w:r>
              <w:rPr>
                <w:rFonts w:ascii="Arial" w:cs="Arial" w:eastAsia="Arial" w:hAnsi="Arial"/>
                <w:b/>
                <w:bCs/>
                <w:color w:val="C00000"/>
                <w:sz w:val="19"/>
                <w:szCs w:val="19"/>
              </w:rPr>
              <w:t xml:space="preserve">Umbral de activación: </w:t>
            </w:r>
            <w:r>
              <w:rPr>
                <w:rFonts w:ascii="Arial" w:cs="Arial" w:eastAsia="Arial" w:hAnsi="Arial"/>
                <w:color w:val="2D2D2D"/>
                <w:sz w:val="19"/>
                <w:szCs w:val="19"/>
              </w:rPr>
              <w:t xml:space="preserve">Antigüedad menor o igual a 30 días Y volumen total AV superior a USD 5.000.</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AV-06  —  Posible empresa fachada (segmento B2B)</w:t>
            </w:r>
            <w:r>
              <w:rPr>
                <w:rFonts w:ascii="Arial" w:cs="Arial" w:eastAsia="Arial" w:hAnsi="Arial"/>
                <w:b/>
                <w:bCs/>
                <w:color w:val="FFD700"/>
                <w:sz w:val="22"/>
                <w:szCs w:val="22"/>
              </w:rPr>
              <w:t xml:space="preserve">   RIESGO ALTO</w:t>
            </w:r>
          </w:p>
        </w:tc>
      </w:tr>
      <w:tr>
        <w:tc>
          <w:tcPr>
            <w:tcW w:type="dxa" w:w="9360"/>
            <w:tcBorders>
              <w:top w:val="none"/>
              <w:left w:val="none"/>
              <w:bottom w:val="none"/>
              <w:right w:val="none"/>
            </w:tcBorders>
            <w:shd w:fill="F2F4F7"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Qué detecta</w:t>
            </w:r>
          </w:p>
          <w:p>
            <w:pPr>
              <w:spacing w:after="80" w:before="0"/>
              <w:jc w:val="both"/>
            </w:pPr>
            <w:r>
              <w:rPr>
                <w:rFonts w:ascii="Arial" w:cs="Arial" w:eastAsia="Arial" w:hAnsi="Arial"/>
                <w:color w:val="2D2D2D"/>
                <w:sz w:val="20"/>
                <w:szCs w:val="20"/>
              </w:rPr>
              <w:t xml:space="preserve">Clientes clasificados en el segmento B2B (empresas) con un volumen acumulado en activos virtuales superior a USD 10.000.</w:t>
            </w:r>
          </w:p>
          <w:p>
            <w:pPr>
              <w:spacing w:after="80" w:before="80"/>
            </w:pPr>
            <w:r>
              <w:rPr>
                <w:rFonts w:ascii="Arial" w:cs="Arial" w:eastAsia="Arial" w:hAnsi="Arial"/>
                <w:b/>
                <w:bCs/>
                <w:color w:val="1B3A6B"/>
                <w:sz w:val="20"/>
                <w:szCs w:val="20"/>
              </w:rPr>
              <w:t xml:space="preserve">Por qué es sospechoso</w:t>
            </w:r>
          </w:p>
          <w:p>
            <w:pPr>
              <w:spacing w:after="80" w:before="0"/>
              <w:jc w:val="both"/>
            </w:pPr>
            <w:r>
              <w:rPr>
                <w:rFonts w:ascii="Arial" w:cs="Arial" w:eastAsia="Arial" w:hAnsi="Arial"/>
                <w:color w:val="2D2D2D"/>
                <w:sz w:val="20"/>
                <w:szCs w:val="20"/>
              </w:rPr>
              <w:t xml:space="preserve">Una empresa con actividad AV de alto volumen puede estar usando la plataforma para operaciones inconsistentes con su objeto social declarado. Las empresas fachada son estructuras que aparentan actividad comercial legítima pero cuyo propósito real es el lavado de dinero.</w:t>
            </w:r>
          </w:p>
          <w:p>
            <w:pPr>
              <w:spacing w:after="60" w:before="80"/>
            </w:pPr>
            <w:r>
              <w:rPr>
                <w:rFonts w:ascii="Arial" w:cs="Arial" w:eastAsia="Arial" w:hAnsi="Arial"/>
                <w:b/>
                <w:bCs/>
                <w:color w:val="C00000"/>
                <w:sz w:val="19"/>
                <w:szCs w:val="19"/>
              </w:rPr>
              <w:t xml:space="preserve">Umbral de activación: </w:t>
            </w:r>
            <w:r>
              <w:rPr>
                <w:rFonts w:ascii="Arial" w:cs="Arial" w:eastAsia="Arial" w:hAnsi="Arial"/>
                <w:color w:val="2D2D2D"/>
                <w:sz w:val="19"/>
                <w:szCs w:val="19"/>
              </w:rPr>
              <w:t xml:space="preserve">Segmento de cliente B2B Y volumen total AV superior a USD 10.000.</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AV-07  —  Beneficiario común entre múltiples clientes AV</w:t>
            </w:r>
            <w:r>
              <w:rPr>
                <w:rFonts w:ascii="Arial" w:cs="Arial" w:eastAsia="Arial" w:hAnsi="Arial"/>
                <w:b/>
                <w:bCs/>
                <w:color w:val="FFD700"/>
                <w:sz w:val="22"/>
                <w:szCs w:val="22"/>
              </w:rPr>
              <w:t xml:space="preserve">   RIESGO ALTO</w:t>
            </w:r>
          </w:p>
        </w:tc>
      </w:tr>
      <w:tr>
        <w:tc>
          <w:tcPr>
            <w:tcW w:type="dxa" w:w="9360"/>
            <w:tcBorders>
              <w:top w:val="none"/>
              <w:left w:val="none"/>
              <w:bottom w:val="none"/>
              <w:right w:val="none"/>
            </w:tcBorders>
            <w:shd w:fill="F2F4F7"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Qué detecta</w:t>
            </w:r>
          </w:p>
          <w:p>
            <w:pPr>
              <w:spacing w:after="80" w:before="0"/>
              <w:jc w:val="both"/>
            </w:pPr>
            <w:r>
              <w:rPr>
                <w:rFonts w:ascii="Arial" w:cs="Arial" w:eastAsia="Arial" w:hAnsi="Arial"/>
                <w:color w:val="2D2D2D"/>
                <w:sz w:val="20"/>
                <w:szCs w:val="20"/>
              </w:rPr>
              <w:t xml:space="preserve">Casos donde 2 o más clientes distintos con exposición AV envían dinero hacia el mismo banco o beneficiario destino.</w:t>
            </w:r>
          </w:p>
          <w:p>
            <w:pPr>
              <w:spacing w:after="80" w:before="80"/>
            </w:pPr>
            <w:r>
              <w:rPr>
                <w:rFonts w:ascii="Arial" w:cs="Arial" w:eastAsia="Arial" w:hAnsi="Arial"/>
                <w:b/>
                <w:bCs/>
                <w:color w:val="1B3A6B"/>
                <w:sz w:val="20"/>
                <w:szCs w:val="20"/>
              </w:rPr>
              <w:t xml:space="preserve">Por qué es sospechoso</w:t>
            </w:r>
          </w:p>
          <w:p>
            <w:pPr>
              <w:spacing w:after="80" w:before="0"/>
              <w:jc w:val="both"/>
            </w:pPr>
            <w:r>
              <w:rPr>
                <w:rFonts w:ascii="Arial" w:cs="Arial" w:eastAsia="Arial" w:hAnsi="Arial"/>
                <w:color w:val="2D2D2D"/>
                <w:sz w:val="20"/>
                <w:szCs w:val="20"/>
              </w:rPr>
              <w:t xml:space="preserve">La convergencia de fondos de múltiples clientes AV hacia un mismo destino sugiere coordinación. Puede indicar la existencia de una cuenta concentradora que agrega fondos de distintas fuentes antes de moverlos a un destino final.</w:t>
            </w:r>
          </w:p>
          <w:p>
            <w:pPr>
              <w:spacing w:after="60" w:before="80"/>
            </w:pPr>
            <w:r>
              <w:rPr>
                <w:rFonts w:ascii="Arial" w:cs="Arial" w:eastAsia="Arial" w:hAnsi="Arial"/>
                <w:b/>
                <w:bCs/>
                <w:color w:val="C00000"/>
                <w:sz w:val="19"/>
                <w:szCs w:val="19"/>
              </w:rPr>
              <w:t xml:space="preserve">Umbral de activación: </w:t>
            </w:r>
            <w:r>
              <w:rPr>
                <w:rFonts w:ascii="Arial" w:cs="Arial" w:eastAsia="Arial" w:hAnsi="Arial"/>
                <w:color w:val="2D2D2D"/>
                <w:sz w:val="19"/>
                <w:szCs w:val="19"/>
              </w:rPr>
              <w:t xml:space="preserve">2 o más clientes con exposición AV tienen el mismo nombre de banco destino en sus transacciones.</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AV-08  —  Uso de Bridge hacia el exterior</w:t>
            </w:r>
            <w:r>
              <w:rPr>
                <w:rFonts w:ascii="Arial" w:cs="Arial" w:eastAsia="Arial" w:hAnsi="Arial"/>
                <w:b/>
                <w:bCs/>
                <w:color w:val="FFD700"/>
                <w:sz w:val="22"/>
                <w:szCs w:val="22"/>
              </w:rPr>
              <w:t xml:space="preserve">   RIESGO ALTO</w:t>
            </w:r>
          </w:p>
        </w:tc>
      </w:tr>
      <w:tr>
        <w:tc>
          <w:tcPr>
            <w:tcW w:type="dxa" w:w="9360"/>
            <w:tcBorders>
              <w:top w:val="none"/>
              <w:left w:val="none"/>
              <w:bottom w:val="none"/>
              <w:right w:val="none"/>
            </w:tcBorders>
            <w:shd w:fill="F2F4F7"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Qué detecta</w:t>
            </w:r>
          </w:p>
          <w:p>
            <w:pPr>
              <w:spacing w:after="80" w:before="0"/>
              <w:jc w:val="both"/>
            </w:pPr>
            <w:r>
              <w:rPr>
                <w:rFonts w:ascii="Arial" w:cs="Arial" w:eastAsia="Arial" w:hAnsi="Arial"/>
                <w:color w:val="2D2D2D"/>
                <w:sz w:val="20"/>
                <w:szCs w:val="20"/>
              </w:rPr>
              <w:t xml:space="preserve">Clientes que usan el método de pago Bridge para realizar transferencias internacionales.</w:t>
            </w:r>
          </w:p>
          <w:p>
            <w:pPr>
              <w:spacing w:after="80" w:before="80"/>
            </w:pPr>
            <w:r>
              <w:rPr>
                <w:rFonts w:ascii="Arial" w:cs="Arial" w:eastAsia="Arial" w:hAnsi="Arial"/>
                <w:b/>
                <w:bCs/>
                <w:color w:val="1B3A6B"/>
                <w:sz w:val="20"/>
                <w:szCs w:val="20"/>
              </w:rPr>
              <w:t xml:space="preserve">Por qué es sospechoso</w:t>
            </w:r>
          </w:p>
          <w:p>
            <w:pPr>
              <w:spacing w:after="80" w:before="0"/>
              <w:jc w:val="both"/>
            </w:pPr>
            <w:r>
              <w:rPr>
                <w:rFonts w:ascii="Arial" w:cs="Arial" w:eastAsia="Arial" w:hAnsi="Arial"/>
                <w:color w:val="2D2D2D"/>
                <w:sz w:val="20"/>
                <w:szCs w:val="20"/>
              </w:rPr>
              <w:t xml:space="preserve">El método Bridge permite mover valor a través de la blockchain de forma casi instantánea y con menor rastreabilidad que una transferencia bancaria tradicional. Su uso combinado con destinos internacionales es un vector de riesgo reconocido en la tipología de lavado mediante activos virtuales.</w:t>
            </w:r>
          </w:p>
          <w:p>
            <w:pPr>
              <w:spacing w:after="60" w:before="80"/>
            </w:pPr>
            <w:r>
              <w:rPr>
                <w:rFonts w:ascii="Arial" w:cs="Arial" w:eastAsia="Arial" w:hAnsi="Arial"/>
                <w:b/>
                <w:bCs/>
                <w:color w:val="C00000"/>
                <w:sz w:val="19"/>
                <w:szCs w:val="19"/>
              </w:rPr>
              <w:t xml:space="preserve">Umbral de activación: </w:t>
            </w:r>
            <w:r>
              <w:rPr>
                <w:rFonts w:ascii="Arial" w:cs="Arial" w:eastAsia="Arial" w:hAnsi="Arial"/>
                <w:color w:val="2D2D2D"/>
                <w:sz w:val="19"/>
                <w:szCs w:val="19"/>
              </w:rPr>
              <w:t xml:space="preserve">Cualquier transacción con el campo de método de pago que contenga 'Bridge'.</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AV-09  —  Concentración en Exchange o Money Desk</w:t>
            </w:r>
            <w:r>
              <w:rPr>
                <w:rFonts w:ascii="Arial" w:cs="Arial" w:eastAsia="Arial" w:hAnsi="Arial"/>
                <w:b/>
                <w:bCs/>
                <w:color w:val="FFD700"/>
                <w:sz w:val="22"/>
                <w:szCs w:val="22"/>
              </w:rPr>
              <w:t xml:space="preserve">   RIESGO MEDIO</w:t>
            </w:r>
          </w:p>
        </w:tc>
      </w:tr>
      <w:tr>
        <w:tc>
          <w:tcPr>
            <w:tcW w:type="dxa" w:w="9360"/>
            <w:tcBorders>
              <w:top w:val="none"/>
              <w:left w:val="none"/>
              <w:bottom w:val="none"/>
              <w:right w:val="none"/>
            </w:tcBorders>
            <w:shd w:fill="F2F4F7"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Qué detecta</w:t>
            </w:r>
          </w:p>
          <w:p>
            <w:pPr>
              <w:spacing w:after="80" w:before="0"/>
              <w:jc w:val="both"/>
            </w:pPr>
            <w:r>
              <w:rPr>
                <w:rFonts w:ascii="Arial" w:cs="Arial" w:eastAsia="Arial" w:hAnsi="Arial"/>
                <w:color w:val="2D2D2D"/>
                <w:sz w:val="20"/>
                <w:szCs w:val="20"/>
              </w:rPr>
              <w:t xml:space="preserve">Clientes con más de 10 operaciones de tipo Exchange o Money Desk y un volumen acumulado superior a USD 20.000.</w:t>
            </w:r>
          </w:p>
          <w:p>
            <w:pPr>
              <w:spacing w:after="80" w:before="80"/>
            </w:pPr>
            <w:r>
              <w:rPr>
                <w:rFonts w:ascii="Arial" w:cs="Arial" w:eastAsia="Arial" w:hAnsi="Arial"/>
                <w:b/>
                <w:bCs/>
                <w:color w:val="1B3A6B"/>
                <w:sz w:val="20"/>
                <w:szCs w:val="20"/>
              </w:rPr>
              <w:t xml:space="preserve">Por qué es sospechoso</w:t>
            </w:r>
          </w:p>
          <w:p>
            <w:pPr>
              <w:spacing w:after="80" w:before="0"/>
              <w:jc w:val="both"/>
            </w:pPr>
            <w:r>
              <w:rPr>
                <w:rFonts w:ascii="Arial" w:cs="Arial" w:eastAsia="Arial" w:hAnsi="Arial"/>
                <w:color w:val="2D2D2D"/>
                <w:sz w:val="20"/>
                <w:szCs w:val="20"/>
              </w:rPr>
              <w:t xml:space="preserve">Una alta frecuencia de operaciones de intercambio de divisas concentrada en un solo cliente puede indicar arbitraje sistemático o estructuración de operaciones para aprovechar variaciones de tipo de cambio vinculadas a activos virtuales.</w:t>
            </w:r>
          </w:p>
          <w:p>
            <w:pPr>
              <w:spacing w:after="60" w:before="80"/>
            </w:pPr>
            <w:r>
              <w:rPr>
                <w:rFonts w:ascii="Arial" w:cs="Arial" w:eastAsia="Arial" w:hAnsi="Arial"/>
                <w:b/>
                <w:bCs/>
                <w:color w:val="C55A11"/>
                <w:sz w:val="19"/>
                <w:szCs w:val="19"/>
              </w:rPr>
              <w:t xml:space="preserve">Umbral de activación: </w:t>
            </w:r>
            <w:r>
              <w:rPr>
                <w:rFonts w:ascii="Arial" w:cs="Arial" w:eastAsia="Arial" w:hAnsi="Arial"/>
                <w:color w:val="2D2D2D"/>
                <w:sz w:val="19"/>
                <w:szCs w:val="19"/>
              </w:rPr>
              <w:t xml:space="preserve">Más de 10 operaciones Exchange o Money Desk Y suma total superior a USD 20.000.</w:t>
            </w:r>
          </w:p>
        </w:tc>
      </w:tr>
    </w:tbl>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20"/>
              <w:left w:type="dxa" w:w="200"/>
              <w:bottom w:type="dxa" w:w="120"/>
              <w:right w:type="dxa" w:w="200"/>
            </w:tcMar>
          </w:tcPr>
          <w:p>
            <w:r>
              <w:rPr>
                <w:rFonts w:ascii="Arial" w:cs="Arial" w:eastAsia="Arial" w:hAnsi="Arial"/>
                <w:b/>
                <w:bCs/>
                <w:color w:val="FFFFFF"/>
                <w:sz w:val="24"/>
                <w:szCs w:val="24"/>
              </w:rPr>
              <w:t xml:space="preserve">AV-10  —  Circularidad de fondos</w:t>
            </w:r>
            <w:r>
              <w:rPr>
                <w:rFonts w:ascii="Arial" w:cs="Arial" w:eastAsia="Arial" w:hAnsi="Arial"/>
                <w:b/>
                <w:bCs/>
                <w:color w:val="FFD700"/>
                <w:sz w:val="22"/>
                <w:szCs w:val="22"/>
              </w:rPr>
              <w:t xml:space="preserve">   RIESGO CRÍTICO</w:t>
            </w:r>
          </w:p>
        </w:tc>
      </w:tr>
      <w:tr>
        <w:tc>
          <w:tcPr>
            <w:tcW w:type="dxa" w:w="9360"/>
            <w:tcBorders>
              <w:top w:val="none"/>
              <w:left w:val="none"/>
              <w:bottom w:val="none"/>
              <w:right w:val="none"/>
            </w:tcBorders>
            <w:shd w:fill="F2F4F7" w:val="clear"/>
            <w:tcMar>
              <w:top w:type="dxa" w:w="120"/>
              <w:left w:type="dxa" w:w="200"/>
              <w:bottom w:type="dxa" w:w="120"/>
              <w:right w:type="dxa" w:w="200"/>
            </w:tcMar>
          </w:tcPr>
          <w:p>
            <w:pPr>
              <w:spacing w:after="80" w:before="0"/>
            </w:pPr>
            <w:r>
              <w:rPr>
                <w:rFonts w:ascii="Arial" w:cs="Arial" w:eastAsia="Arial" w:hAnsi="Arial"/>
                <w:b/>
                <w:bCs/>
                <w:color w:val="1B3A6B"/>
                <w:sz w:val="20"/>
                <w:szCs w:val="20"/>
              </w:rPr>
              <w:t xml:space="preserve">Qué detecta</w:t>
            </w:r>
          </w:p>
          <w:p>
            <w:pPr>
              <w:spacing w:after="80" w:before="0"/>
              <w:jc w:val="both"/>
            </w:pPr>
            <w:r>
              <w:rPr>
                <w:rFonts w:ascii="Arial" w:cs="Arial" w:eastAsia="Arial" w:hAnsi="Arial"/>
                <w:color w:val="2D2D2D"/>
                <w:sz w:val="20"/>
                <w:szCs w:val="20"/>
              </w:rPr>
              <w:t xml:space="preserve">Casos donde el número de documento de identidad de un cliente aparece como remitente en las cuentas de otros clientes AV, y viceversa.</w:t>
            </w:r>
          </w:p>
          <w:p>
            <w:pPr>
              <w:spacing w:after="80" w:before="80"/>
            </w:pPr>
            <w:r>
              <w:rPr>
                <w:rFonts w:ascii="Arial" w:cs="Arial" w:eastAsia="Arial" w:hAnsi="Arial"/>
                <w:b/>
                <w:bCs/>
                <w:color w:val="1B3A6B"/>
                <w:sz w:val="20"/>
                <w:szCs w:val="20"/>
              </w:rPr>
              <w:t xml:space="preserve">Por qué es sospechoso</w:t>
            </w:r>
          </w:p>
          <w:p>
            <w:pPr>
              <w:spacing w:after="80" w:before="0"/>
              <w:jc w:val="both"/>
            </w:pPr>
            <w:r>
              <w:rPr>
                <w:rFonts w:ascii="Arial" w:cs="Arial" w:eastAsia="Arial" w:hAnsi="Arial"/>
                <w:color w:val="2D2D2D"/>
                <w:sz w:val="20"/>
                <w:szCs w:val="20"/>
              </w:rPr>
              <w:t xml:space="preserve">La circularidad de fondos es una señal de triangulación: el dinero 'regresa' al punto de origen por una ruta diferente, creando la apariencia de múltiples transacciones independientes cuando en realidad forman un circuito cerrado. Esta técnica es usada para dar apariencia de legitimidad a fondos de origen ilícito.</w:t>
            </w:r>
          </w:p>
          <w:p>
            <w:pPr>
              <w:spacing w:after="60" w:before="80"/>
            </w:pPr>
            <w:r>
              <w:rPr>
                <w:rFonts w:ascii="Arial" w:cs="Arial" w:eastAsia="Arial" w:hAnsi="Arial"/>
                <w:b/>
                <w:bCs/>
                <w:color w:val="C00000"/>
                <w:sz w:val="19"/>
                <w:szCs w:val="19"/>
              </w:rPr>
              <w:t xml:space="preserve">Umbral de activación: </w:t>
            </w:r>
            <w:r>
              <w:rPr>
                <w:rFonts w:ascii="Arial" w:cs="Arial" w:eastAsia="Arial" w:hAnsi="Arial"/>
                <w:color w:val="2D2D2D"/>
                <w:sz w:val="19"/>
                <w:szCs w:val="19"/>
              </w:rPr>
              <w:t xml:space="preserve">El DNI registrado en el campo 'persona que fondea' de un cliente coincide con el DNI de otro cliente AV, y ese otro cliente también aparece como remitente del primero.</w:t>
            </w:r>
          </w:p>
        </w:tc>
      </w:tr>
    </w:tbl>
    <w:p>
      <w:pPr>
        <w:spacing w:after="60" w:before="60"/>
      </w:pPr>
      <w:r>
        <w:rPr>
          <w:rFonts w:ascii="Arial" w:cs="Arial" w:eastAsia="Arial" w:hAnsi="Arial"/>
        </w:rPr>
        <w:t xml:space="preserve"/>
      </w:r>
    </w:p>
    <w:p>
      <w:pPr>
        <w:pStyle w:val="Heading1"/>
        <w:pageBreakBefore/>
      </w:pPr>
      <w:r>
        <w:rPr>
          <w:rFonts w:ascii="Arial" w:cs="Arial" w:eastAsia="Arial" w:hAnsi="Arial"/>
          <w:b/>
          <w:bCs/>
          <w:color w:val="1B3A6B"/>
          <w:sz w:val="32"/>
          <w:szCs w:val="32"/>
        </w:rPr>
        <w:t xml:space="preserve">6. Dashboard — Guía de Uso</w:t>
      </w:r>
    </w:p>
    <w:p>
      <w:pPr>
        <w:spacing w:after="100" w:before="60"/>
        <w:jc w:val="both"/>
      </w:pPr>
      <w:r>
        <w:rPr>
          <w:rFonts w:ascii="Arial" w:cs="Arial" w:eastAsia="Arial" w:hAnsi="Arial"/>
          <w:b w:val="false"/>
          <w:bCs w:val="false"/>
          <w:i w:val="false"/>
          <w:iCs w:val="false"/>
          <w:color w:val="2D2D2D"/>
          <w:sz w:val="20"/>
          <w:szCs w:val="20"/>
        </w:rPr>
        <w:t xml:space="preserve">El dashboard del modelo está disponible en:</w:t>
      </w:r>
    </w:p>
    <w:p>
      <w:pPr>
        <w:spacing w:after="120" w:before="80"/>
        <w:jc w:val="center"/>
      </w:pPr>
      <w:r>
        <w:rPr>
          <w:rFonts w:ascii="Arial" w:cs="Arial" w:eastAsia="Arial" w:hAnsi="Arial"/>
          <w:b/>
          <w:bCs/>
          <w:color w:val="2E75B6"/>
          <w:sz w:val="22"/>
          <w:szCs w:val="22"/>
        </w:rPr>
        <w:t xml:space="preserve">https://bmackenna-g66.github.io/av-kyt-sfc-docs/</w:t>
      </w:r>
    </w:p>
    <w:p>
      <w:pPr>
        <w:spacing w:after="100" w:before="60"/>
        <w:jc w:val="both"/>
      </w:pPr>
      <w:r>
        <w:rPr>
          <w:rFonts w:ascii="Arial" w:cs="Arial" w:eastAsia="Arial" w:hAnsi="Arial"/>
          <w:b w:val="false"/>
          <w:bCs w:val="false"/>
          <w:i w:val="false"/>
          <w:iCs w:val="false"/>
          <w:color w:val="2D2D2D"/>
          <w:sz w:val="20"/>
          <w:szCs w:val="20"/>
        </w:rPr>
        <w:t xml:space="preserve">El acceso es libre con el link. Es una herramienta de consulta y gestión para el equipo de compliance. Los datos se actualizan cada vez que se ejecuta el proceso de actualización del modelo.</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Pestaña</w:t>
            </w:r>
          </w:p>
        </w:tc>
        <w:tc>
          <w:tcPr>
            <w:tcW w:type="dxa" w:w="7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Contenido y uso principal</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Resumen</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KPIs principales (clientes AV, alertas, riesgos, redes, volumen), variación vs mes anterior, gráficos de distribución por nivel de riesgo y por señal AML, evolución mensual de los últimos 18 meses, y tabla comparativa de los últimos 3 meses.</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Alertas AML</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Sección operativa principal. Muestra las 10 señales con estadísticas, tabla de 300 alertas individuales con filtros por señal / nivel / mes / estado, gestión de estados de revisión por alerta, y tabla de calidad de señales con ratio de densidad.</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Flujos</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Evolución mensual del volumen en USD y conteo de operaciones, separado por tipo (transacciones, fondeos CR, retiros DR). Permite identificar tendencias y meses de mayor actividad AV.</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Clientes</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Perfil detallado de los 100 principales clientes por volumen AV. Filtros por país, segmento y nivel de riesgo. Vista de detalle con todos los indicadores y puntuación dimensional al hacer clic en un cliente.</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Redes</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Grafo visual interactivo de las redes de mulas detectadas. Nodos naranjos = personas externas (hubs); azules = clientes de la plataforma. Grosor de línea proporcional al monto. Clic en nodo = detalle de la red.</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Modelo SQL</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Lógica de cálculo de cada indicador y señal, para referencia técnica o en caso de auditoría regulatoria.</w:t>
            </w:r>
          </w:p>
        </w:tc>
      </w:tr>
    </w:tbl>
    <w:p>
      <w:pPr>
        <w:pStyle w:val="Heading1"/>
        <w:pageBreakBefore/>
      </w:pPr>
      <w:r>
        <w:rPr>
          <w:rFonts w:ascii="Arial" w:cs="Arial" w:eastAsia="Arial" w:hAnsi="Arial"/>
          <w:b/>
          <w:bCs/>
          <w:color w:val="1B3A6B"/>
          <w:sz w:val="32"/>
          <w:szCs w:val="32"/>
        </w:rPr>
        <w:t xml:space="preserve">7. Proceso de Revisión de Alertas</w:t>
      </w:r>
    </w:p>
    <w:p>
      <w:pPr>
        <w:pStyle w:val="Heading2"/>
      </w:pPr>
      <w:r>
        <w:rPr>
          <w:rFonts w:ascii="Arial" w:cs="Arial" w:eastAsia="Arial" w:hAnsi="Arial"/>
          <w:b/>
          <w:bCs/>
          <w:color w:val="2E75B6"/>
          <w:sz w:val="26"/>
          <w:szCs w:val="26"/>
        </w:rPr>
        <w:t xml:space="preserve">7.1  Estados de revisión disponibles</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Estado</w:t>
            </w:r>
          </w:p>
        </w:tc>
        <w:tc>
          <w:tcPr>
            <w:tcW w:type="dxa" w:w="32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Significado</w:t>
            </w:r>
          </w:p>
        </w:tc>
        <w:tc>
          <w:tcPr>
            <w:tcW w:type="dxa" w:w="42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Acción esperada</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 Pendiente</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Alerta generada, aún no revisada</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Revisar el caso: señal, valor, perfil del cliente</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 En revisión</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El analista está investigando el caso</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Continuar investigación; buscar información adicional del cliente</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 Escalado</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Requiere atención superior o reporte</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Registrar en sistema de gestión; evaluar reporte de operación sospechosa</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 Falso positivo</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 determinó que no hay riesgo real</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Documentar justificación; considerar ajuste del umbral de la señal</w:t>
            </w:r>
          </w:p>
        </w:tc>
      </w:tr>
      <w:tr>
        <w:tc>
          <w:tcPr>
            <w:tcW w:type="dxa" w:w="18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 Cerrado</w:t>
            </w:r>
          </w:p>
        </w:tc>
        <w:tc>
          <w:tcPr>
            <w:tcW w:type="dxa" w:w="3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El caso fue resuelto</w:t>
            </w:r>
          </w:p>
        </w:tc>
        <w:tc>
          <w:tcPr>
            <w:tcW w:type="dxa" w:w="42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Archivar con conclusión documentada</w:t>
            </w:r>
          </w:p>
        </w:tc>
      </w:tr>
    </w:tbl>
    <w:p>
      <w:pPr>
        <w:spacing w:after="60" w:before="60"/>
      </w:pPr>
      <w:r>
        <w:rPr>
          <w:rFonts w:ascii="Arial" w:cs="Arial" w:eastAsia="Arial" w:hAnsi="Arial"/>
        </w:rPr>
        <w:t xml:space="preserve"/>
      </w:r>
    </w:p>
    <w:p>
      <w:pPr>
        <w:pStyle w:val="Heading2"/>
      </w:pPr>
      <w:r>
        <w:rPr>
          <w:rFonts w:ascii="Arial" w:cs="Arial" w:eastAsia="Arial" w:hAnsi="Arial"/>
          <w:b/>
          <w:bCs/>
          <w:color w:val="2E75B6"/>
          <w:sz w:val="26"/>
          <w:szCs w:val="26"/>
        </w:rPr>
        <w:t xml:space="preserve">7.2  Flujo de trabajo recomendado</w:t>
      </w:r>
    </w:p>
    <w:p>
      <w:pPr>
        <w:pStyle w:val="ListParagraph"/>
        <w:numPr>
          <w:ilvl w:val="0"/>
          <w:numId w:val="3"/>
        </w:numPr>
        <w:spacing w:after="40" w:before="60"/>
      </w:pPr>
      <w:r>
        <w:rPr>
          <w:rFonts w:ascii="Arial" w:cs="Arial" w:eastAsia="Arial" w:hAnsi="Arial"/>
          <w:sz w:val="20"/>
          <w:szCs w:val="20"/>
        </w:rPr>
        <w:t xml:space="preserve">Acceder al dashboard → pestaña Alertas AML</w:t>
      </w:r>
    </w:p>
    <w:p>
      <w:pPr>
        <w:pStyle w:val="ListParagraph"/>
        <w:numPr>
          <w:ilvl w:val="0"/>
          <w:numId w:val="3"/>
        </w:numPr>
        <w:spacing w:after="40" w:before="40"/>
      </w:pPr>
      <w:r>
        <w:rPr>
          <w:rFonts w:ascii="Arial" w:cs="Arial" w:eastAsia="Arial" w:hAnsi="Arial"/>
          <w:sz w:val="20"/>
          <w:szCs w:val="20"/>
        </w:rPr>
        <w:t xml:space="preserve">Filtrar por nivel de riesgo CRITICAL primero, luego HIGH</w:t>
      </w:r>
    </w:p>
    <w:p>
      <w:pPr>
        <w:pStyle w:val="ListParagraph"/>
        <w:numPr>
          <w:ilvl w:val="0"/>
          <w:numId w:val="3"/>
        </w:numPr>
        <w:spacing w:after="40" w:before="40"/>
      </w:pPr>
      <w:r>
        <w:rPr>
          <w:rFonts w:ascii="Arial" w:cs="Arial" w:eastAsia="Arial" w:hAnsi="Arial"/>
          <w:sz w:val="20"/>
          <w:szCs w:val="20"/>
        </w:rPr>
        <w:t xml:space="preserve">Revisar cada alerta: analizar la señal, el valor y el perfil del cliente</w:t>
      </w:r>
    </w:p>
    <w:p>
      <w:pPr>
        <w:pStyle w:val="ListParagraph"/>
        <w:numPr>
          <w:ilvl w:val="0"/>
          <w:numId w:val="3"/>
        </w:numPr>
        <w:spacing w:after="40" w:before="40"/>
      </w:pPr>
      <w:r>
        <w:rPr>
          <w:rFonts w:ascii="Arial" w:cs="Arial" w:eastAsia="Arial" w:hAnsi="Arial"/>
          <w:sz w:val="20"/>
          <w:szCs w:val="20"/>
        </w:rPr>
        <w:t xml:space="preserve">Marcar el estado según la conclusión del análisis</w:t>
      </w:r>
    </w:p>
    <w:p>
      <w:pPr>
        <w:pStyle w:val="ListParagraph"/>
        <w:numPr>
          <w:ilvl w:val="0"/>
          <w:numId w:val="3"/>
        </w:numPr>
        <w:spacing w:after="40" w:before="40"/>
      </w:pPr>
      <w:r>
        <w:rPr>
          <w:rFonts w:ascii="Arial" w:cs="Arial" w:eastAsia="Arial" w:hAnsi="Arial"/>
          <w:sz w:val="20"/>
          <w:szCs w:val="20"/>
        </w:rPr>
        <w:t xml:space="preserve">Para alertas escaladas: registrar en el sistema de gestión de cumplimiento</w:t>
      </w:r>
    </w:p>
    <w:p>
      <w:pPr>
        <w:pStyle w:val="ListParagraph"/>
        <w:numPr>
          <w:ilvl w:val="0"/>
          <w:numId w:val="3"/>
        </w:numPr>
        <w:spacing w:after="60" w:before="40"/>
      </w:pPr>
      <w:r>
        <w:rPr>
          <w:rFonts w:ascii="Arial" w:cs="Arial" w:eastAsia="Arial" w:hAnsi="Arial"/>
          <w:sz w:val="20"/>
          <w:szCs w:val="20"/>
        </w:rPr>
        <w:t xml:space="preserve">Documentar la decisión de falso positivo con justificación</w:t>
      </w:r>
    </w:p>
    <w:p>
      <w:pPr>
        <w:pStyle w:val="Heading2"/>
      </w:pPr>
      <w:r>
        <w:rPr>
          <w:rFonts w:ascii="Arial" w:cs="Arial" w:eastAsia="Arial" w:hAnsi="Arial"/>
          <w:b/>
          <w:bCs/>
          <w:color w:val="2E75B6"/>
          <w:sz w:val="26"/>
          <w:szCs w:val="26"/>
        </w:rPr>
        <w:t xml:space="preserve">7.3  Consideraciones para el reporte SFC</w:t>
      </w:r>
    </w:p>
    <w:p>
      <w:pPr>
        <w:spacing w:after="100" w:before="60"/>
        <w:jc w:val="both"/>
      </w:pPr>
      <w:r>
        <w:rPr>
          <w:rFonts w:ascii="Arial" w:cs="Arial" w:eastAsia="Arial" w:hAnsi="Arial"/>
          <w:b w:val="false"/>
          <w:bCs w:val="false"/>
          <w:i w:val="false"/>
          <w:iCs w:val="false"/>
          <w:color w:val="2D2D2D"/>
          <w:sz w:val="20"/>
          <w:szCs w:val="20"/>
        </w:rPr>
        <w:t xml:space="preserve">Las alertas con estado 'Escalado' son candidatas a ser incluidas en el reporte de operaciones sospechosas o en el reporte al supervisor según aplique. La tasa de falsos positivos es un indicador de calidad del modelo que puede ser solicitado por la SFC como evidencia de madurez del sistema de monitoreo transaccional.</w:t>
      </w:r>
    </w:p>
    <w:p>
      <w:pPr>
        <w:pStyle w:val="Heading1"/>
        <w:pageBreakBefore/>
      </w:pPr>
      <w:r>
        <w:rPr>
          <w:rFonts w:ascii="Arial" w:cs="Arial" w:eastAsia="Arial" w:hAnsi="Arial"/>
          <w:b/>
          <w:bCs/>
          <w:color w:val="1B3A6B"/>
          <w:sz w:val="32"/>
          <w:szCs w:val="32"/>
        </w:rPr>
        <w:t xml:space="preserve">8. Catálogos de Referencia</w:t>
      </w:r>
    </w:p>
    <w:p>
      <w:pPr>
        <w:pStyle w:val="Heading2"/>
      </w:pPr>
      <w:r>
        <w:rPr>
          <w:rFonts w:ascii="Arial" w:cs="Arial" w:eastAsia="Arial" w:hAnsi="Arial"/>
          <w:b/>
          <w:bCs/>
          <w:color w:val="2E75B6"/>
          <w:sz w:val="26"/>
          <w:szCs w:val="26"/>
        </w:rPr>
        <w:t xml:space="preserve">8.1  Catálogo de actores AV</w:t>
      </w:r>
    </w:p>
    <w:p>
      <w:pPr>
        <w:spacing w:after="100" w:before="60"/>
        <w:jc w:val="both"/>
      </w:pPr>
      <w:r>
        <w:rPr>
          <w:rFonts w:ascii="Arial" w:cs="Arial" w:eastAsia="Arial" w:hAnsi="Arial"/>
          <w:b w:val="false"/>
          <w:bCs w:val="false"/>
          <w:i w:val="false"/>
          <w:iCs w:val="false"/>
          <w:color w:val="2D2D2D"/>
          <w:sz w:val="20"/>
          <w:szCs w:val="20"/>
        </w:rPr>
        <w:t xml:space="preserve">El modelo incluye un catálogo de 30 actores del ecosistema de activos virtuales, que permite enriquecer el análisis con contexto sobre contrapartes cuando la información está disponible:</w:t>
      </w:r>
    </w:p>
    <w:p>
      <w:pPr>
        <w:pStyle w:val="ListParagraph"/>
        <w:numPr>
          <w:ilvl w:val="0"/>
          <w:numId w:val="2"/>
        </w:numPr>
        <w:spacing w:after="40" w:before="40"/>
      </w:pPr>
      <w:r>
        <w:rPr>
          <w:rFonts w:ascii="Arial" w:cs="Arial" w:eastAsia="Arial" w:hAnsi="Arial"/>
          <w:b/>
          <w:bCs/>
          <w:color w:val="2D2D2D"/>
          <w:sz w:val="20"/>
          <w:szCs w:val="20"/>
        </w:rPr>
        <w:t xml:space="preserve">Binance, Coinbase, Kraken, Gemini, FTX, Huobi, OKX</w:t>
      </w:r>
      <w:r>
        <w:rPr>
          <w:rFonts w:ascii="Arial" w:cs="Arial" w:eastAsia="Arial" w:hAnsi="Arial"/>
          <w:color w:val="2D2D2D"/>
          <w:sz w:val="20"/>
          <w:szCs w:val="20"/>
        </w:rPr>
        <w:t xml:space="preserve">Exchanges globales: </w:t>
      </w:r>
    </w:p>
    <w:p>
      <w:pPr>
        <w:pStyle w:val="ListParagraph"/>
        <w:numPr>
          <w:ilvl w:val="0"/>
          <w:numId w:val="2"/>
        </w:numPr>
        <w:spacing w:after="40" w:before="40"/>
      </w:pPr>
      <w:r>
        <w:rPr>
          <w:rFonts w:ascii="Arial" w:cs="Arial" w:eastAsia="Arial" w:hAnsi="Arial"/>
          <w:b/>
          <w:bCs/>
          <w:color w:val="2D2D2D"/>
          <w:sz w:val="20"/>
          <w:szCs w:val="20"/>
        </w:rPr>
        <w:t xml:space="preserve">Bitso, Buda, Ripio, Satoshitango</w:t>
      </w:r>
      <w:r>
        <w:rPr>
          <w:rFonts w:ascii="Arial" w:cs="Arial" w:eastAsia="Arial" w:hAnsi="Arial"/>
          <w:color w:val="2D2D2D"/>
          <w:sz w:val="20"/>
          <w:szCs w:val="20"/>
        </w:rPr>
        <w:t xml:space="preserve">Exchanges LATAM: </w:t>
      </w:r>
    </w:p>
    <w:p>
      <w:pPr>
        <w:pStyle w:val="ListParagraph"/>
        <w:numPr>
          <w:ilvl w:val="0"/>
          <w:numId w:val="2"/>
        </w:numPr>
        <w:spacing w:after="40" w:before="40"/>
      </w:pPr>
      <w:r>
        <w:rPr>
          <w:rFonts w:ascii="Arial" w:cs="Arial" w:eastAsia="Arial" w:hAnsi="Arial"/>
          <w:b/>
          <w:bCs/>
          <w:color w:val="2D2D2D"/>
          <w:sz w:val="20"/>
          <w:szCs w:val="20"/>
        </w:rPr>
        <w:t xml:space="preserve">LocalBitcoins, Paxful, Bisq</w:t>
      </w:r>
      <w:r>
        <w:rPr>
          <w:rFonts w:ascii="Arial" w:cs="Arial" w:eastAsia="Arial" w:hAnsi="Arial"/>
          <w:color w:val="2D2D2D"/>
          <w:sz w:val="20"/>
          <w:szCs w:val="20"/>
        </w:rPr>
        <w:t xml:space="preserve">Mercados P2P: </w:t>
      </w:r>
    </w:p>
    <w:p>
      <w:pPr>
        <w:pStyle w:val="ListParagraph"/>
        <w:numPr>
          <w:ilvl w:val="0"/>
          <w:numId w:val="2"/>
        </w:numPr>
        <w:spacing w:after="40" w:before="40"/>
      </w:pPr>
      <w:r>
        <w:rPr>
          <w:rFonts w:ascii="Arial" w:cs="Arial" w:eastAsia="Arial" w:hAnsi="Arial"/>
          <w:b/>
          <w:bCs/>
          <w:color w:val="2D2D2D"/>
          <w:sz w:val="20"/>
          <w:szCs w:val="20"/>
        </w:rPr>
        <w:t xml:space="preserve">Tornado Cash, Garantex, Hydra Market</w:t>
      </w:r>
      <w:r>
        <w:rPr>
          <w:rFonts w:ascii="Arial" w:cs="Arial" w:eastAsia="Arial" w:hAnsi="Arial"/>
          <w:color w:val="2D2D2D"/>
          <w:sz w:val="20"/>
          <w:szCs w:val="20"/>
        </w:rPr>
        <w:t xml:space="preserve">Entidades sancionadas: </w:t>
      </w:r>
    </w:p>
    <w:p>
      <w:pPr>
        <w:pStyle w:val="ListParagraph"/>
        <w:numPr>
          <w:ilvl w:val="0"/>
          <w:numId w:val="2"/>
        </w:numPr>
        <w:spacing w:after="40" w:before="40"/>
      </w:pPr>
      <w:r>
        <w:rPr>
          <w:rFonts w:ascii="Arial" w:cs="Arial" w:eastAsia="Arial" w:hAnsi="Arial"/>
          <w:color w:val="2D2D2D"/>
          <w:sz w:val="20"/>
          <w:szCs w:val="20"/>
        </w:rPr>
        <w:t xml:space="preserve">Billeteras y protocolos DeFi</w:t>
      </w:r>
    </w:p>
    <w:p>
      <w:pPr>
        <w:pStyle w:val="Heading2"/>
      </w:pPr>
      <w:r>
        <w:rPr>
          <w:rFonts w:ascii="Arial" w:cs="Arial" w:eastAsia="Arial" w:hAnsi="Arial"/>
          <w:b/>
          <w:bCs/>
          <w:color w:val="2E75B6"/>
          <w:sz w:val="26"/>
          <w:szCs w:val="26"/>
        </w:rPr>
        <w:t xml:space="preserve">8.2  Catálogo de monedas AV</w:t>
      </w:r>
    </w:p>
    <w:p>
      <w:pPr>
        <w:spacing w:after="100" w:before="60"/>
        <w:jc w:val="both"/>
      </w:pPr>
      <w:r>
        <w:rPr>
          <w:rFonts w:ascii="Arial" w:cs="Arial" w:eastAsia="Arial" w:hAnsi="Arial"/>
          <w:b w:val="false"/>
          <w:bCs w:val="false"/>
          <w:i w:val="false"/>
          <w:iCs w:val="false"/>
          <w:color w:val="2D2D2D"/>
          <w:sz w:val="20"/>
          <w:szCs w:val="20"/>
        </w:rPr>
        <w:t xml:space="preserve">El modelo reconoce 14 criptomonedas y stablecoins como activos virtuales. Una operación que involucre cualquiera de estas monedas como origen o destino es marcada como exposición AV:</w:t>
      </w:r>
    </w:p>
    <w:p>
      <w:pPr>
        <w:spacing w:after="100" w:before="60"/>
        <w:jc w:val="both"/>
      </w:pPr>
      <w:r>
        <w:rPr>
          <w:rFonts w:ascii="Arial" w:cs="Arial" w:eastAsia="Arial" w:hAnsi="Arial"/>
          <w:b/>
          <w:bCs/>
          <w:i w:val="false"/>
          <w:iCs w:val="false"/>
          <w:color w:val="2E75B6"/>
          <w:sz w:val="20"/>
          <w:szCs w:val="20"/>
        </w:rPr>
        <w:t xml:space="preserve">BTC, ETH, USDT, USDC, BNB, XRP, ADA, SOL, MATIC, DAI, BUSD, LTC, DOT, TRX</w:t>
      </w:r>
    </w:p>
    <w:p>
      <w:pPr>
        <w:pStyle w:val="Heading1"/>
        <w:pageBreakBefore/>
      </w:pPr>
      <w:r>
        <w:rPr>
          <w:rFonts w:ascii="Arial" w:cs="Arial" w:eastAsia="Arial" w:hAnsi="Arial"/>
          <w:b/>
          <w:bCs/>
          <w:color w:val="1B3A6B"/>
          <w:sz w:val="32"/>
          <w:szCs w:val="32"/>
        </w:rPr>
        <w:t xml:space="preserve">9. Actualización del Modelo</w:t>
      </w:r>
    </w:p>
    <w:p>
      <w:pPr>
        <w:pStyle w:val="Heading2"/>
      </w:pPr>
      <w:r>
        <w:rPr>
          <w:rFonts w:ascii="Arial" w:cs="Arial" w:eastAsia="Arial" w:hAnsi="Arial"/>
          <w:b/>
          <w:bCs/>
          <w:color w:val="2E75B6"/>
          <w:sz w:val="26"/>
          <w:szCs w:val="26"/>
        </w:rPr>
        <w:t xml:space="preserve">9.1  Cuándo actualizar</w:t>
      </w:r>
    </w:p>
    <w:p>
      <w:pPr>
        <w:pStyle w:val="ListParagraph"/>
        <w:numPr>
          <w:ilvl w:val="0"/>
          <w:numId w:val="2"/>
        </w:numPr>
        <w:spacing w:after="40" w:before="40"/>
      </w:pPr>
      <w:r>
        <w:rPr>
          <w:rFonts w:ascii="Arial" w:cs="Arial" w:eastAsia="Arial" w:hAnsi="Arial"/>
          <w:color w:val="2D2D2D"/>
          <w:sz w:val="20"/>
          <w:szCs w:val="20"/>
        </w:rPr>
        <w:t xml:space="preserve">Antes de cada reporte regulatorio</w:t>
      </w:r>
    </w:p>
    <w:p>
      <w:pPr>
        <w:pStyle w:val="ListParagraph"/>
        <w:numPr>
          <w:ilvl w:val="0"/>
          <w:numId w:val="2"/>
        </w:numPr>
        <w:spacing w:after="40" w:before="40"/>
      </w:pPr>
      <w:r>
        <w:rPr>
          <w:rFonts w:ascii="Arial" w:cs="Arial" w:eastAsia="Arial" w:hAnsi="Arial"/>
          <w:color w:val="2D2D2D"/>
          <w:sz w:val="20"/>
          <w:szCs w:val="20"/>
        </w:rPr>
        <w:t xml:space="preserve">Mensualmente como parte del ciclo de monitoreo</w:t>
      </w:r>
    </w:p>
    <w:p>
      <w:pPr>
        <w:pStyle w:val="ListParagraph"/>
        <w:numPr>
          <w:ilvl w:val="0"/>
          <w:numId w:val="2"/>
        </w:numPr>
        <w:spacing w:after="40" w:before="40"/>
      </w:pPr>
      <w:r>
        <w:rPr>
          <w:rFonts w:ascii="Arial" w:cs="Arial" w:eastAsia="Arial" w:hAnsi="Arial"/>
          <w:color w:val="2D2D2D"/>
          <w:sz w:val="20"/>
          <w:szCs w:val="20"/>
        </w:rPr>
        <w:t xml:space="preserve">Cuando se necesite incorporar operaciones recientes para una investigación específica</w:t>
      </w:r>
    </w:p>
    <w:p>
      <w:pPr>
        <w:pStyle w:val="Heading2"/>
      </w:pPr>
      <w:r>
        <w:rPr>
          <w:rFonts w:ascii="Arial" w:cs="Arial" w:eastAsia="Arial" w:hAnsi="Arial"/>
          <w:b/>
          <w:bCs/>
          <w:color w:val="2E75B6"/>
          <w:sz w:val="26"/>
          <w:szCs w:val="26"/>
        </w:rPr>
        <w:t xml:space="preserve">9.2  Proceso de actualización</w:t>
      </w:r>
    </w:p>
    <w:p>
      <w:pPr>
        <w:spacing w:after="100" w:before="60"/>
        <w:jc w:val="both"/>
      </w:pPr>
      <w:r>
        <w:rPr>
          <w:rFonts w:ascii="Arial" w:cs="Arial" w:eastAsia="Arial" w:hAnsi="Arial"/>
          <w:b w:val="false"/>
          <w:bCs w:val="false"/>
          <w:i w:val="false"/>
          <w:iCs w:val="false"/>
          <w:color w:val="2D2D2D"/>
          <w:sz w:val="20"/>
          <w:szCs w:val="20"/>
        </w:rPr>
        <w:t xml:space="preserve">El proceso de actualización es ejecutado por el área de Datos/Tecnología bajo solicitud del equipo de Compliance. El tiempo estimado es de 5 a 10 minutos. Una vez ejecutado, el dashboard refleja automáticamente los datos más recientes.</w:t>
      </w:r>
    </w:p>
    <w:p>
      <w:pPr>
        <w:pStyle w:val="Heading1"/>
        <w:pageBreakBefore/>
      </w:pPr>
      <w:r>
        <w:rPr>
          <w:rFonts w:ascii="Arial" w:cs="Arial" w:eastAsia="Arial" w:hAnsi="Arial"/>
          <w:b/>
          <w:bCs/>
          <w:color w:val="1B3A6B"/>
          <w:sz w:val="32"/>
          <w:szCs w:val="32"/>
        </w:rPr>
        <w:t xml:space="preserve">10. Limitaciones y Próximos Pasos</w:t>
      </w:r>
    </w:p>
    <w:p>
      <w:pPr>
        <w:pStyle w:val="Heading2"/>
      </w:pPr>
      <w:r>
        <w:rPr>
          <w:rFonts w:ascii="Arial" w:cs="Arial" w:eastAsia="Arial" w:hAnsi="Arial"/>
          <w:b/>
          <w:bCs/>
          <w:color w:val="2E75B6"/>
          <w:sz w:val="26"/>
          <w:szCs w:val="26"/>
        </w:rPr>
        <w:t xml:space="preserve">10.1  Limitaciones actuales</w:t>
      </w:r>
    </w:p>
    <w:p>
      <w:pPr>
        <w:pStyle w:val="ListParagraph"/>
        <w:numPr>
          <w:ilvl w:val="0"/>
          <w:numId w:val="2"/>
        </w:numPr>
        <w:spacing w:after="40" w:before="40"/>
      </w:pPr>
      <w:r>
        <w:rPr>
          <w:rFonts w:ascii="Arial" w:cs="Arial" w:eastAsia="Arial" w:hAnsi="Arial"/>
          <w:color w:val="2D2D2D"/>
          <w:sz w:val="20"/>
          <w:szCs w:val="20"/>
        </w:rPr>
        <w:t xml:space="preserve">El dashboard muestra las 300 alertas de mayor severidad como muestra operativa. El universo completo de 28.591 alertas está disponible en las bases de datos del modelo.</w:t>
      </w:r>
    </w:p>
    <w:p>
      <w:pPr>
        <w:pStyle w:val="ListParagraph"/>
        <w:numPr>
          <w:ilvl w:val="0"/>
          <w:numId w:val="2"/>
        </w:numPr>
        <w:spacing w:after="40" w:before="40"/>
      </w:pPr>
      <w:r>
        <w:rPr>
          <w:rFonts w:ascii="Arial" w:cs="Arial" w:eastAsia="Arial" w:hAnsi="Arial"/>
          <w:color w:val="2D2D2D"/>
          <w:sz w:val="20"/>
          <w:szCs w:val="20"/>
        </w:rPr>
        <w:t xml:space="preserve">Los estados de revisión de alertas se guardan en el navegador del usuario. Para trabajo en equipo compartido se requeriría una solución centralizada de gestión de casos.</w:t>
      </w:r>
    </w:p>
    <w:p>
      <w:pPr>
        <w:pStyle w:val="ListParagraph"/>
        <w:numPr>
          <w:ilvl w:val="0"/>
          <w:numId w:val="2"/>
        </w:numPr>
        <w:spacing w:after="40" w:before="40"/>
      </w:pPr>
      <w:r>
        <w:rPr>
          <w:rFonts w:ascii="Arial" w:cs="Arial" w:eastAsia="Arial" w:hAnsi="Arial"/>
          <w:color w:val="2D2D2D"/>
          <w:sz w:val="20"/>
          <w:szCs w:val="20"/>
        </w:rPr>
        <w:t xml:space="preserve">El modelo no incluye actualmente cruce con listas de sanciones internacionales (OFAC, ONU) ni con base de datos de PEPs. Esta es la mejora prioritaria identificada.</w:t>
      </w:r>
    </w:p>
    <w:p>
      <w:pPr>
        <w:pStyle w:val="Heading2"/>
      </w:pPr>
      <w:r>
        <w:rPr>
          <w:rFonts w:ascii="Arial" w:cs="Arial" w:eastAsia="Arial" w:hAnsi="Arial"/>
          <w:b/>
          <w:bCs/>
          <w:color w:val="2E75B6"/>
          <w:sz w:val="26"/>
          <w:szCs w:val="26"/>
        </w:rPr>
        <w:t xml:space="preserve">10.2  Mejoras en roadmap</w:t>
      </w:r>
    </w:p>
    <w:p>
      <w:pPr>
        <w:pStyle w:val="ListParagraph"/>
        <w:numPr>
          <w:ilvl w:val="0"/>
          <w:numId w:val="2"/>
        </w:numPr>
        <w:spacing w:after="40" w:before="40"/>
      </w:pPr>
      <w:r>
        <w:rPr>
          <w:rFonts w:ascii="Arial" w:cs="Arial" w:eastAsia="Arial" w:hAnsi="Arial"/>
          <w:color w:val="2D2D2D"/>
          <w:sz w:val="20"/>
          <w:szCs w:val="20"/>
        </w:rPr>
        <w:t xml:space="preserve">Cruce automático con listas OFAC, ONU y PEPs nacionales</w:t>
      </w:r>
    </w:p>
    <w:p>
      <w:pPr>
        <w:pStyle w:val="ListParagraph"/>
        <w:numPr>
          <w:ilvl w:val="0"/>
          <w:numId w:val="2"/>
        </w:numPr>
        <w:spacing w:after="40" w:before="40"/>
      </w:pPr>
      <w:r>
        <w:rPr>
          <w:rFonts w:ascii="Arial" w:cs="Arial" w:eastAsia="Arial" w:hAnsi="Arial"/>
          <w:color w:val="2D2D2D"/>
          <w:sz w:val="20"/>
          <w:szCs w:val="20"/>
        </w:rPr>
        <w:t xml:space="preserve">Exportación de reporte regulatorio en formato Excel compatible con plantillas SFC</w:t>
      </w:r>
    </w:p>
    <w:p>
      <w:pPr>
        <w:pStyle w:val="ListParagraph"/>
        <w:numPr>
          <w:ilvl w:val="0"/>
          <w:numId w:val="2"/>
        </w:numPr>
        <w:spacing w:after="40" w:before="40"/>
      </w:pPr>
      <w:r>
        <w:rPr>
          <w:rFonts w:ascii="Arial" w:cs="Arial" w:eastAsia="Arial" w:hAnsi="Arial"/>
          <w:color w:val="2D2D2D"/>
          <w:sz w:val="20"/>
          <w:szCs w:val="20"/>
        </w:rPr>
        <w:t xml:space="preserve">Actualización automática programada sin intervención manual (diaria o semanal)</w:t>
      </w:r>
    </w:p>
    <w:p>
      <w:pPr>
        <w:pStyle w:val="ListParagraph"/>
        <w:numPr>
          <w:ilvl w:val="0"/>
          <w:numId w:val="2"/>
        </w:numPr>
        <w:spacing w:after="40" w:before="40"/>
      </w:pPr>
      <w:r>
        <w:rPr>
          <w:rFonts w:ascii="Arial" w:cs="Arial" w:eastAsia="Arial" w:hAnsi="Arial"/>
          <w:color w:val="2D2D2D"/>
          <w:sz w:val="20"/>
          <w:szCs w:val="20"/>
        </w:rPr>
        <w:t xml:space="preserve">Sistema centralizado de gestión de casos para trabajo en equipo</w:t>
      </w:r>
    </w:p>
    <w:p>
      <w:pPr>
        <w:pStyle w:val="ListParagraph"/>
        <w:numPr>
          <w:ilvl w:val="0"/>
          <w:numId w:val="2"/>
        </w:numPr>
        <w:spacing w:after="40" w:before="40"/>
      </w:pPr>
      <w:r>
        <w:rPr>
          <w:rFonts w:ascii="Arial" w:cs="Arial" w:eastAsia="Arial" w:hAnsi="Arial"/>
          <w:color w:val="2D2D2D"/>
          <w:sz w:val="20"/>
          <w:szCs w:val="20"/>
        </w:rPr>
        <w:t xml:space="preserve">Calibración de umbrales basada en datos históricos de falsos positivos</w:t>
      </w:r>
    </w:p>
    <w:p>
      <w:pPr>
        <w:pStyle w:val="Heading1"/>
        <w:pageBreakBefore/>
      </w:pPr>
      <w:r>
        <w:rPr>
          <w:rFonts w:ascii="Arial" w:cs="Arial" w:eastAsia="Arial" w:hAnsi="Arial"/>
          <w:b/>
          <w:bCs/>
          <w:color w:val="1B3A6B"/>
          <w:sz w:val="32"/>
          <w:szCs w:val="32"/>
        </w:rPr>
        <w:t xml:space="preserve">11. Glosario</w:t>
      </w:r>
    </w:p>
    <w:p>
      <w:pPr>
        <w:spacing w:after="6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Término</w:t>
            </w:r>
          </w:p>
        </w:tc>
        <w:tc>
          <w:tcPr>
            <w:tcW w:type="dxa" w:w="7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Definición</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AV</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Activo Virtual. Término regulatorio para criptomonedas, stablecoins y activos digitales.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KYT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Know Your Transaction — Conoce tu Transacción. Metodología de monitoreo transaccional aplicada a activos virtuales.</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CR (Credit)</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Fondeo o entrada de dinero a la cuenta del cliente desde una fuente externa.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DR (Debit)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Retiro o salida de dinero desde la cuenta del cliente.</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Bridge</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Método de pago que permite transferir valor a través de redes blockchain. Tiene menor trazabilidad que una transferencia bancaria tradicional.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Smurfing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Técnica de lavado que consiste en fraccionar grandes sumas en múltiples transacciones pequeñas para evadir umbrales de reporte.</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Mula financiera</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Persona que mueve o transfiere dinero ilícito en nombre de terceros, generalmente a cambio de una comisión.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Stablecoin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Criptomoneda cuyo valor está vinculado a una moneda fiat (generalmente el dólar). Ejemplos: USDT, USDC, DAI.</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DRLAFT</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Disposiciones Relativas a la Lucha contra el Lavado de Activos y la Financiación del Terrorismo. Marco regulatorio de la SFC.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SFC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Superintendencia Financiera de Colombia.</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GAFI</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Grupo de Acción Financiera Internacional. Organismo que emite las recomendaciones globales en materia AML/CFT.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LA/FT/FPADM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Lavado de Activos / Financiación del Terrorismo / Financiación de la Proliferación de Armas de Destrucción Masiva.</w:t>
            </w:r>
          </w:p>
        </w:tc>
      </w:tr>
    </w:tbl>
    <w:p>
      <w:pPr>
        <w:spacing w:after="60" w:before="60"/>
      </w:pPr>
      <w:r>
        <w:rPr>
          <w:rFonts w:ascii="Arial" w:cs="Arial" w:eastAsia="Arial" w:hAnsi="Arial"/>
        </w:rPr>
        <w:t xml:space="preserve"/>
      </w:r>
    </w:p>
    <w:p>
      <w:pPr>
        <w:spacing w:after="100" w:before="60"/>
        <w:jc w:val="center"/>
      </w:pPr>
      <w:r>
        <w:rPr>
          <w:rFonts w:ascii="Arial" w:cs="Arial" w:eastAsia="Arial" w:hAnsi="Arial"/>
          <w:b w:val="false"/>
          <w:bCs w:val="false"/>
          <w:i/>
          <w:iCs/>
          <w:color w:val="596579"/>
          <w:sz w:val="20"/>
          <w:szCs w:val="20"/>
        </w:rPr>
        <w:t xml:space="preserve">— Fin del documento —</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60"/>
      <w:jc w:val="center"/>
    </w:pPr>
    <w:r>
      <w:rPr>
        <w:rFonts w:ascii="Arial" w:cs="Arial" w:eastAsia="Arial" w:hAnsi="Arial"/>
        <w:color w:val="596579"/>
        <w:sz w:val="16"/>
        <w:szCs w:val="16"/>
      </w:rPr>
      <w:t xml:space="preserve">Global66 Compliance — AV/KYT Model v1.0 — Junio 2026     |     Página </w:t>
    </w:r>
    <w:r>
      <w:rPr>
        <w:rFonts w:ascii="Arial" w:cs="Arial" w:eastAsia="Arial" w:hAnsi="Arial"/>
        <w:color w:val="5965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80" w:before="0"/>
    </w:pPr>
    <w:r>
      <w:rPr>
        <w:rFonts w:ascii="Arial" w:cs="Arial" w:eastAsia="Arial" w:hAnsi="Arial"/>
        <w:i/>
        <w:iCs/>
        <w:color w:val="596579"/>
        <w:sz w:val="16"/>
        <w:szCs w:val="16"/>
      </w:rPr>
      <w:t xml:space="preserve">Confidencial — Uso Interno Compliance Global66</w:t>
    </w:r>
    <w:r>
      <w:rPr>
        <w:rFonts w:ascii="Arial" w:cs="Arial" w:eastAsia="Arial" w:hAnsi="Arial"/>
        <w:i/>
        <w:iCs/>
        <w:color w:val="596579"/>
        <w:sz w:val="16"/>
        <w:szCs w:val="16"/>
      </w:rPr>
      <w:t xml:space="preserve">	Modelo AV/KYT — SFC DRLAFT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00" w:hanging="260"/>
      </w:pPr>
    </w:lvl>
  </w:abstractNum>
  <w:abstractNum w:abstractNumId="3" w15:restartNumberingAfterBreak="0">
    <w:multiLevelType w:val="hybridMultilevel"/>
    <w:lvl w:ilvl="0" w15:tentative="1">
      <w:start w:val="1"/>
      <w:numFmt w:val="decimal"/>
      <w:lvlText w:val="%1."/>
      <w:lvlJc w:val="left"/>
      <w:pPr>
        <w:spacing w:after="60" w:before="60"/>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965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2026-06-01T14:08:32.919Z</dcterms:created>
  <dcterms:modified xsi:type="dcterms:W3CDTF">2026-06-01T14:08:32.921Z</dcterms:modified>
</cp:coreProperties>
</file>

<file path=docProps/custom.xml><?xml version="1.0" encoding="utf-8"?>
<Properties xmlns="http://schemas.openxmlformats.org/officeDocument/2006/custom-properties" xmlns:vt="http://schemas.openxmlformats.org/officeDocument/2006/docPropsVTypes"/>
</file>