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b w:val="1"/>
          <w:sz w:val="34"/>
          <w:szCs w:val="34"/>
          <w:rtl w:val="0"/>
        </w:rPr>
        <w:t xml:space="preserve">Systems Design Architecture Overview</w:t>
      </w:r>
      <w:r w:rsidDel="00000000" w:rsidR="00000000" w:rsidRPr="00000000">
        <w:rPr>
          <w:rtl w:val="0"/>
        </w:rPr>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The design architecture of the Soil Monitoring System represents a carefully engineered integration of IoT hardware, scalable data infrastructure, and intelligent visualization technologies to enhance real-time soil data analysis and agricultural decision-making. At its core, the system is designed to continuously collect and transmit key soil parameters, including moisture, temperature, pH, and nutrient levels (NPK) from field sensors to a centralized platform for analysis and insight generation.</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This documentation outlines the end-to-end architecture of the system, detailing each component from hardware and sensor integration to data storage, processing, and visualization. It also highlights the choice of tools and technologies, such as the ESP32 microcontroller, Modbus communication protocol, Oracle APEX database, and a React-based frontend enhanced with the Gemini AI API used to build a responsive, scalable, and intelligent solution. The architecture prioritizes data accuracy, system scalability, and user accessibility, ensuring reliable operation in both testing and field environments.</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The sections that follow provide a detailed overview of how data flows through the system: from sensor measurement and transmission via Modbus and ESP32, to storage and processing in Oracle APEX, and finally to interactive visualizations and AI-driven insights generated on the React frontend. The design also supports future scalability allowing for the integration of additional sensors, expansion to multiple agricultural sites, and advanced analytics capabilities. This positions the Soil Monitoring System as a future-ready, intelligent IoT platform for precision agriculture and sustainable soil management.</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