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jc w:val="center"/>
      </w:pPr>
      <w:r>
        <w:rPr>
          <w:rFonts w:ascii="Arial" w:hAnsi="Arial" w:eastAsia="Arial"/>
          <w:b/>
          <w:i w:val="0"/>
          <w:color w:val="1A1A2E"/>
          <w:sz w:val="96"/>
        </w:rPr>
        <w:t>5to1r</w:t>
      </w:r>
    </w:p>
    <w:p>
      <w:pPr>
        <w:jc w:val="center"/>
      </w:pPr>
      <w:r>
        <w:rPr>
          <w:rFonts w:ascii="Arial" w:hAnsi="Arial" w:eastAsia="Arial"/>
          <w:b w:val="0"/>
          <w:i w:val="0"/>
          <w:color w:val="4F46E5"/>
          <w:sz w:val="30"/>
        </w:rPr>
        <w:t>Agent observability infrastructure for developers</w:t>
      </w:r>
    </w:p>
    <w:p>
      <w:pPr>
        <w:jc w:val="center"/>
      </w:pPr>
      <w:r>
        <w:rPr>
          <w:rFonts w:ascii="Arial" w:hAnsi="Arial" w:eastAsia="Arial"/>
          <w:b w:val="0"/>
          <w:i w:val="0"/>
          <w:color w:val="6B7280"/>
          <w:sz w:val="24"/>
        </w:rPr>
        <w:t>Business Plan &amp; Product Overview</w:t>
      </w:r>
    </w:p>
    <w:p>
      <w:pPr>
        <w:jc w:val="center"/>
      </w:pPr>
      <w:r>
        <w:rPr>
          <w:rFonts w:ascii="Arial" w:hAnsi="Arial" w:eastAsia="Arial"/>
          <w:b w:val="0"/>
          <w:i/>
          <w:color w:val="6B7280"/>
          <w:sz w:val="20"/>
        </w:rPr>
        <w:t>2025 — Confidential</w:t>
      </w:r>
    </w:p>
    <w:tbl>
      <w:tblPr>
        <w:tblW w:type="auto" w:w="0"/>
        <w:jc w:val="center"/>
        <w:tblLayout w:type="fixed"/>
        <w:tblLook w:firstColumn="1" w:firstRow="1" w:lastColumn="0" w:lastRow="0" w:noHBand="0" w:noVBand="1" w:val="04A0"/>
      </w:tblPr>
      <w:tblGrid>
        <w:gridCol w:w="9360"/>
      </w:tblGrid>
      <w:tr>
        <w:tc>
          <w:tcPr>
            <w:tcW w:type="dxa" w:w="9360"/>
            <w:shd w:fill="F0EFFF"/>
            <w:tcBorders>
              <w:top w:val="single" w:sz="6" w:space="0" w:color="E5E7EB"/>
              <w:left w:val="single" w:sz="6" w:space="0" w:color="E5E7EB"/>
              <w:bottom w:val="single" w:sz="6" w:space="0" w:color="E5E7EB"/>
              <w:right w:val="single" w:sz="6" w:space="0" w:color="E5E7EB"/>
            </w:tcBorders>
            <w:tcMar>
              <w:top w:w="220" w:type="dxa"/>
              <w:start w:w="300" w:type="dxa"/>
              <w:bottom w:w="220" w:type="dxa"/>
              <w:end w:w="300" w:type="dxa"/>
            </w:tcMar>
          </w:tcPr>
          <w:p>
            <w:pPr>
              <w:jc w:val="center"/>
            </w:pPr>
            <w:r>
              <w:rPr>
                <w:rFonts w:ascii="Arial" w:hAnsi="Arial" w:eastAsia="Arial"/>
                <w:b/>
                <w:i/>
                <w:color w:val="4F46E5"/>
                <w:sz w:val="26"/>
              </w:rPr>
              <w:t>"Five signals to one truth."</w:t>
            </w:r>
          </w:p>
          <w:p>
            <w:pPr>
              <w:jc w:val="center"/>
            </w:pPr>
            <w:r>
              <w:rPr>
                <w:rFonts w:ascii="Arial" w:hAnsi="Arial" w:eastAsia="Arial"/>
                <w:b w:val="0"/>
                <w:i w:val="0"/>
                <w:color w:val="374151"/>
                <w:sz w:val="22"/>
              </w:rPr>
              <w:t>5to1r is the observability and runtime platform that makes AI agents production-ready. We give developers full visibility into every step an agent takes — the tools it calls, the decisions it makes, the cost it incurs, and why it fails — so they can ship reliable AI products without building the infrastructure from scratch.</w:t>
            </w:r>
          </w:p>
        </w:tc>
      </w:tr>
    </w:tbl>
    <w:p>
      <w:r>
        <w:br w:type="page"/>
      </w:r>
    </w:p>
    <w:p>
      <w:pPr>
        <w:pStyle w:val="Heading1"/>
        <w:spacing w:before="480" w:after="160"/>
      </w:pPr>
      <w:r>
        <w:rPr>
          <w:rFonts w:ascii="Arial" w:hAnsi="Arial" w:eastAsia="Arial"/>
          <w:b/>
          <w:i w:val="0"/>
          <w:color w:val="1A1A2E"/>
          <w:sz w:val="36"/>
        </w:rPr>
        <w:t>1. The Problem</w:t>
      </w:r>
    </w:p>
    <w:p>
      <w:pPr>
        <w:spacing w:before="60" w:after="100"/>
      </w:pPr>
      <w:r>
        <w:rPr>
          <w:rFonts w:ascii="Arial" w:hAnsi="Arial" w:eastAsia="Arial"/>
          <w:b w:val="0"/>
          <w:i w:val="0"/>
          <w:color w:val="374151"/>
          <w:sz w:val="22"/>
        </w:rPr>
        <w:t>Building an AI agent that works in a demo is straightforward. Getting it to run reliably in production is a different problem entirely — and right now, almost nobody has solved it.</w:t>
      </w:r>
    </w:p>
    <w:p>
      <w:pPr>
        <w:spacing w:before="240" w:after="80"/>
      </w:pPr>
      <w:r>
        <w:rPr>
          <w:rFonts w:ascii="Arial" w:hAnsi="Arial" w:eastAsia="Arial"/>
          <w:b/>
          <w:i w:val="0"/>
          <w:color w:val="1A1A2E"/>
          <w:sz w:val="22"/>
        </w:rPr>
        <w:t>What developers are dealing with today</w:t>
      </w:r>
    </w:p>
    <w:p>
      <w:pPr>
        <w:pStyle w:val="ListBullet"/>
        <w:spacing w:before="40" w:after="60"/>
      </w:pPr>
      <w:r>
        <w:rPr>
          <w:rFonts w:ascii="Arial" w:hAnsi="Arial" w:eastAsia="Arial"/>
          <w:b/>
          <w:i w:val="0"/>
          <w:color w:val="4F46E5"/>
          <w:sz w:val="22"/>
        </w:rPr>
        <w:t xml:space="preserve">No visibility: </w:t>
      </w:r>
      <w:r>
        <w:rPr>
          <w:rFonts w:ascii="Arial" w:hAnsi="Arial" w:eastAsia="Arial"/>
          <w:b w:val="0"/>
          <w:i w:val="0"/>
          <w:color w:val="374151"/>
          <w:sz w:val="22"/>
        </w:rPr>
        <w:t>agents fail silently. There is no way to see which tool was called, what the LLM decided, or why the run cost $40 instead of $0.40.</w:t>
      </w:r>
    </w:p>
    <w:p>
      <w:pPr>
        <w:pStyle w:val="ListBullet"/>
        <w:spacing w:before="40" w:after="60"/>
      </w:pPr>
      <w:r>
        <w:rPr>
          <w:rFonts w:ascii="Arial" w:hAnsi="Arial" w:eastAsia="Arial"/>
          <w:b/>
          <w:i w:val="0"/>
          <w:color w:val="4F46E5"/>
          <w:sz w:val="22"/>
        </w:rPr>
        <w:t xml:space="preserve">No debugging tools: </w:t>
      </w:r>
      <w:r>
        <w:rPr>
          <w:rFonts w:ascii="Arial" w:hAnsi="Arial" w:eastAsia="Arial"/>
          <w:b w:val="0"/>
          <w:i w:val="0"/>
          <w:color w:val="374151"/>
          <w:sz w:val="22"/>
        </w:rPr>
        <w:t>when something goes wrong, developers stare at raw logs and try to reconstruct what happened. A failed run can take hours to diagnose.</w:t>
      </w:r>
    </w:p>
    <w:p>
      <w:pPr>
        <w:pStyle w:val="ListBullet"/>
        <w:spacing w:before="40" w:after="60"/>
      </w:pPr>
      <w:r>
        <w:rPr>
          <w:rFonts w:ascii="Arial" w:hAnsi="Arial" w:eastAsia="Arial"/>
          <w:b/>
          <w:i w:val="0"/>
          <w:color w:val="4F46E5"/>
          <w:sz w:val="22"/>
        </w:rPr>
        <w:t xml:space="preserve">No cost controls: </w:t>
      </w:r>
      <w:r>
        <w:rPr>
          <w:rFonts w:ascii="Arial" w:hAnsi="Arial" w:eastAsia="Arial"/>
          <w:b w:val="0"/>
          <w:i w:val="0"/>
          <w:color w:val="374151"/>
          <w:sz w:val="22"/>
        </w:rPr>
        <w:t>LLM API spend is unpredictable. Loops, retries, and runaway context windows burn money with no warning.</w:t>
      </w:r>
    </w:p>
    <w:p>
      <w:pPr>
        <w:pStyle w:val="ListBullet"/>
        <w:spacing w:before="40" w:after="60"/>
      </w:pPr>
      <w:r>
        <w:rPr>
          <w:rFonts w:ascii="Arial" w:hAnsi="Arial" w:eastAsia="Arial"/>
          <w:b/>
          <w:i w:val="0"/>
          <w:color w:val="4F46E5"/>
          <w:sz w:val="22"/>
        </w:rPr>
        <w:t xml:space="preserve">No testing framework: </w:t>
      </w:r>
      <w:r>
        <w:rPr>
          <w:rFonts w:ascii="Arial" w:hAnsi="Arial" w:eastAsia="Arial"/>
          <w:b w:val="0"/>
          <w:i w:val="0"/>
          <w:color w:val="374151"/>
          <w:sz w:val="22"/>
        </w:rPr>
        <w:t>there is no way to write test cases for agent behaviour the way you would write unit tests for code. Every deploy is a gamble.</w:t>
      </w:r>
    </w:p>
    <w:p>
      <w:pPr>
        <w:pStyle w:val="ListBullet"/>
        <w:spacing w:before="40" w:after="60"/>
      </w:pPr>
      <w:r>
        <w:rPr>
          <w:rFonts w:ascii="Arial" w:hAnsi="Arial" w:eastAsia="Arial"/>
          <w:b/>
          <w:i w:val="0"/>
          <w:color w:val="4F46E5"/>
          <w:sz w:val="22"/>
        </w:rPr>
        <w:t xml:space="preserve">Fragmented infrastructure: </w:t>
      </w:r>
      <w:r>
        <w:rPr>
          <w:rFonts w:ascii="Arial" w:hAnsi="Arial" w:eastAsia="Arial"/>
          <w:b w:val="0"/>
          <w:i w:val="0"/>
          <w:color w:val="374151"/>
          <w:sz w:val="22"/>
        </w:rPr>
        <w:t>every team building agents is writing the same plumbing from scratch — retry logic, memory management, failure recovery. Hundreds of engineering weeks wasted on undifferentiated work.</w:t>
      </w:r>
    </w:p>
    <w:p>
      <w:pPr>
        <w:spacing w:before="60" w:after="100"/>
      </w:pPr>
      <w:r>
        <w:rPr>
          <w:rFonts w:ascii="Arial" w:hAnsi="Arial" w:eastAsia="Arial"/>
          <w:b w:val="0"/>
          <w:i w:val="0"/>
          <w:color w:val="374151"/>
          <w:sz w:val="22"/>
        </w:rPr>
        <w:t>LangChain and LlamaIndex got people to prototype agents. Nobody has built the layer that makes those prototypes production-grade. That is the gap 5to1r fills.</w:t>
      </w:r>
    </w:p>
    <w:p>
      <w:r>
        <w:br w:type="page"/>
      </w:r>
    </w:p>
    <w:p>
      <w:pPr>
        <w:pStyle w:val="Heading1"/>
        <w:spacing w:before="480" w:after="160"/>
      </w:pPr>
      <w:r>
        <w:rPr>
          <w:rFonts w:ascii="Arial" w:hAnsi="Arial" w:eastAsia="Arial"/>
          <w:b/>
          <w:i w:val="0"/>
          <w:color w:val="1A1A2E"/>
          <w:sz w:val="36"/>
        </w:rPr>
        <w:t>2. What 5to1r Does</w:t>
      </w:r>
    </w:p>
    <w:p>
      <w:pPr>
        <w:spacing w:before="60" w:after="100"/>
      </w:pPr>
      <w:r>
        <w:rPr>
          <w:rFonts w:ascii="Arial" w:hAnsi="Arial" w:eastAsia="Arial"/>
          <w:b w:val="0"/>
          <w:i w:val="0"/>
          <w:color w:val="374151"/>
          <w:sz w:val="22"/>
        </w:rPr>
        <w:t>5to1r is an agent observability and runtime platform. Developers install our SDK in minutes, and immediately gain visibility into every step their agents take — in real time, across every run, with full replay capability.</w:t>
      </w:r>
    </w:p>
    <w:p>
      <w:pPr>
        <w:spacing w:before="240" w:after="80"/>
      </w:pPr>
      <w:r>
        <w:rPr>
          <w:rFonts w:ascii="Arial" w:hAnsi="Arial" w:eastAsia="Arial"/>
          <w:b/>
          <w:i w:val="0"/>
          <w:color w:val="1A1A2E"/>
          <w:sz w:val="22"/>
        </w:rPr>
        <w:t>The product has three layers</w:t>
      </w:r>
    </w:p>
    <w:p>
      <w:pPr>
        <w:spacing w:before="240" w:after="80"/>
      </w:pPr>
      <w:r>
        <w:rPr>
          <w:rFonts w:ascii="Arial" w:hAnsi="Arial" w:eastAsia="Arial"/>
          <w:b/>
          <w:i w:val="0"/>
          <w:color w:val="1A1A2E"/>
          <w:sz w:val="22"/>
        </w:rPr>
        <w:t>Layer 1 — The trace layer (the wedge)</w:t>
      </w:r>
    </w:p>
    <w:p>
      <w:pPr>
        <w:pStyle w:val="ListBullet"/>
        <w:spacing w:before="40" w:after="60"/>
      </w:pPr>
      <w:r>
        <w:rPr>
          <w:rFonts w:ascii="Arial" w:hAnsi="Arial" w:eastAsia="Arial"/>
          <w:b/>
          <w:i w:val="0"/>
          <w:color w:val="4F46E5"/>
          <w:sz w:val="22"/>
        </w:rPr>
        <w:t xml:space="preserve">SDK: </w:t>
      </w:r>
      <w:r>
        <w:rPr>
          <w:rFonts w:ascii="Arial" w:hAnsi="Arial" w:eastAsia="Arial"/>
          <w:b w:val="0"/>
          <w:i w:val="0"/>
          <w:color w:val="374151"/>
          <w:sz w:val="22"/>
        </w:rPr>
        <w:t>a thin Python and TypeScript package. One decorator instruments any existing agent. Zero config, works with any LLM provider — Claude, GPT-4, Gemini.</w:t>
      </w:r>
    </w:p>
    <w:p>
      <w:pPr>
        <w:pStyle w:val="ListBullet"/>
        <w:spacing w:before="40" w:after="60"/>
      </w:pPr>
      <w:r>
        <w:rPr>
          <w:rFonts w:ascii="Arial" w:hAnsi="Arial" w:eastAsia="Arial"/>
          <w:b/>
          <w:i w:val="0"/>
          <w:color w:val="4F46E5"/>
          <w:sz w:val="22"/>
        </w:rPr>
        <w:t xml:space="preserve">Trace viewer UI: </w:t>
      </w:r>
      <w:r>
        <w:rPr>
          <w:rFonts w:ascii="Arial" w:hAnsi="Arial" w:eastAsia="Arial"/>
          <w:b w:val="0"/>
          <w:i w:val="0"/>
          <w:color w:val="374151"/>
          <w:sz w:val="22"/>
        </w:rPr>
        <w:t>a real-time dashboard showing every step of every agent run as a timeline. Click any span to inspect the full input, output, latency, and cost.</w:t>
      </w:r>
    </w:p>
    <w:p>
      <w:pPr>
        <w:pStyle w:val="ListBullet"/>
        <w:spacing w:before="40" w:after="60"/>
      </w:pPr>
      <w:r>
        <w:rPr>
          <w:rFonts w:ascii="Arial" w:hAnsi="Arial" w:eastAsia="Arial"/>
          <w:b/>
          <w:i w:val="0"/>
          <w:color w:val="4F46E5"/>
          <w:sz w:val="22"/>
        </w:rPr>
        <w:t xml:space="preserve">Run replay: </w:t>
      </w:r>
      <w:r>
        <w:rPr>
          <w:rFonts w:ascii="Arial" w:hAnsi="Arial" w:eastAsia="Arial"/>
          <w:b w:val="0"/>
          <w:i w:val="0"/>
          <w:color w:val="374151"/>
          <w:sz w:val="22"/>
        </w:rPr>
        <w:t>re-execute any past run step-by-step in a sandbox. The single most valuable debugging feature in the product.</w:t>
      </w:r>
    </w:p>
    <w:p>
      <w:pPr>
        <w:pStyle w:val="ListBullet"/>
        <w:spacing w:before="40" w:after="60"/>
      </w:pPr>
      <w:r>
        <w:rPr>
          <w:rFonts w:ascii="Arial" w:hAnsi="Arial" w:eastAsia="Arial"/>
          <w:b/>
          <w:i w:val="0"/>
          <w:color w:val="4F46E5"/>
          <w:sz w:val="22"/>
        </w:rPr>
        <w:t xml:space="preserve">Cost dashboard: </w:t>
      </w:r>
      <w:r>
        <w:rPr>
          <w:rFonts w:ascii="Arial" w:hAnsi="Arial" w:eastAsia="Arial"/>
          <w:b w:val="0"/>
          <w:i w:val="0"/>
          <w:color w:val="374151"/>
          <w:sz w:val="22"/>
        </w:rPr>
        <w:t>total LLM spend per agent, per run, per model, per tool. Immediate ROI visibility.</w:t>
      </w:r>
    </w:p>
    <w:p>
      <w:pPr>
        <w:pStyle w:val="ListBullet"/>
        <w:spacing w:before="40" w:after="60"/>
      </w:pPr>
      <w:r>
        <w:rPr>
          <w:rFonts w:ascii="Arial" w:hAnsi="Arial" w:eastAsia="Arial"/>
          <w:b/>
          <w:i w:val="0"/>
          <w:color w:val="4F46E5"/>
          <w:sz w:val="22"/>
        </w:rPr>
        <w:t xml:space="preserve">Alerts: </w:t>
      </w:r>
      <w:r>
        <w:rPr>
          <w:rFonts w:ascii="Arial" w:hAnsi="Arial" w:eastAsia="Arial"/>
          <w:b w:val="0"/>
          <w:i w:val="0"/>
          <w:color w:val="374151"/>
          <w:sz w:val="22"/>
        </w:rPr>
        <w:t>Slack or email notification when a run fails, exceeds cost thresholds, or stalls.</w:t>
      </w:r>
    </w:p>
    <w:p>
      <w:pPr>
        <w:spacing w:before="240" w:after="80"/>
      </w:pPr>
      <w:r>
        <w:rPr>
          <w:rFonts w:ascii="Arial" w:hAnsi="Arial" w:eastAsia="Arial"/>
          <w:b/>
          <w:i w:val="0"/>
          <w:color w:val="1A1A2E"/>
          <w:sz w:val="22"/>
        </w:rPr>
        <w:t>Layer 2 — The runtime layer (the platform)</w:t>
      </w:r>
    </w:p>
    <w:p>
      <w:pPr>
        <w:pStyle w:val="ListBullet"/>
        <w:spacing w:before="40" w:after="60"/>
      </w:pPr>
      <w:r>
        <w:rPr>
          <w:rFonts w:ascii="Arial" w:hAnsi="Arial" w:eastAsia="Arial"/>
          <w:b/>
          <w:i w:val="0"/>
          <w:color w:val="4F46E5"/>
          <w:sz w:val="22"/>
        </w:rPr>
        <w:t xml:space="preserve">Orchestrator: </w:t>
      </w:r>
      <w:r>
        <w:rPr>
          <w:rFonts w:ascii="Arial" w:hAnsi="Arial" w:eastAsia="Arial"/>
          <w:b w:val="0"/>
          <w:i w:val="0"/>
          <w:color w:val="374151"/>
          <w:sz w:val="22"/>
        </w:rPr>
        <w:t>opinionated step-routing engine. Handles retries, fallbacks to cheaper models, cost ceilings, and mid-run model switching.</w:t>
      </w:r>
    </w:p>
    <w:p>
      <w:pPr>
        <w:pStyle w:val="ListBullet"/>
        <w:spacing w:before="40" w:after="60"/>
      </w:pPr>
      <w:r>
        <w:rPr>
          <w:rFonts w:ascii="Arial" w:hAnsi="Arial" w:eastAsia="Arial"/>
          <w:b/>
          <w:i w:val="0"/>
          <w:color w:val="4F46E5"/>
          <w:sz w:val="22"/>
        </w:rPr>
        <w:t xml:space="preserve">Tool registry: </w:t>
      </w:r>
      <w:r>
        <w:rPr>
          <w:rFonts w:ascii="Arial" w:hAnsi="Arial" w:eastAsia="Arial"/>
          <w:b w:val="0"/>
          <w:i w:val="0"/>
          <w:color w:val="374151"/>
          <w:sz w:val="22"/>
        </w:rPr>
        <w:t>define, version, and auth-gate tools centrally. Every agent in an organisation uses the same verified, tested tool definitions.</w:t>
      </w:r>
    </w:p>
    <w:p>
      <w:pPr>
        <w:pStyle w:val="ListBullet"/>
        <w:spacing w:before="40" w:after="60"/>
      </w:pPr>
      <w:r>
        <w:rPr>
          <w:rFonts w:ascii="Arial" w:hAnsi="Arial" w:eastAsia="Arial"/>
          <w:b/>
          <w:i w:val="0"/>
          <w:color w:val="4F46E5"/>
          <w:sz w:val="22"/>
        </w:rPr>
        <w:t xml:space="preserve">Memory manager: </w:t>
      </w:r>
      <w:r>
        <w:rPr>
          <w:rFonts w:ascii="Arial" w:hAnsi="Arial" w:eastAsia="Arial"/>
          <w:b w:val="0"/>
          <w:i w:val="0"/>
          <w:color w:val="374151"/>
          <w:sz w:val="22"/>
        </w:rPr>
        <w:t>smart context window management — what to keep, what to summarise, what to discard — based on token budget and task structure.</w:t>
      </w:r>
    </w:p>
    <w:p>
      <w:pPr>
        <w:pStyle w:val="ListBullet"/>
        <w:spacing w:before="40" w:after="60"/>
      </w:pPr>
      <w:r>
        <w:rPr>
          <w:rFonts w:ascii="Arial" w:hAnsi="Arial" w:eastAsia="Arial"/>
          <w:b/>
          <w:i w:val="0"/>
          <w:color w:val="4F46E5"/>
          <w:sz w:val="22"/>
        </w:rPr>
        <w:t xml:space="preserve">Failure recovery: </w:t>
      </w:r>
      <w:r>
        <w:rPr>
          <w:rFonts w:ascii="Arial" w:hAnsi="Arial" w:eastAsia="Arial"/>
          <w:b w:val="0"/>
          <w:i w:val="0"/>
          <w:color w:val="374151"/>
          <w:sz w:val="22"/>
        </w:rPr>
        <w:t>configurable rules: on timeout, retry N times, then fall back to a simpler model, then checkpoint state and alert.</w:t>
      </w:r>
    </w:p>
    <w:p>
      <w:pPr>
        <w:spacing w:before="240" w:after="80"/>
      </w:pPr>
      <w:r>
        <w:rPr>
          <w:rFonts w:ascii="Arial" w:hAnsi="Arial" w:eastAsia="Arial"/>
          <w:b/>
          <w:i w:val="0"/>
          <w:color w:val="1A1A2E"/>
          <w:sz w:val="22"/>
        </w:rPr>
        <w:t>Layer 3 — The eval engine (the retention driver)</w:t>
      </w:r>
    </w:p>
    <w:p>
      <w:pPr>
        <w:pStyle w:val="ListBullet"/>
        <w:spacing w:before="40" w:after="60"/>
      </w:pPr>
      <w:r>
        <w:rPr>
          <w:rFonts w:ascii="Arial" w:hAnsi="Arial" w:eastAsia="Arial"/>
          <w:b/>
          <w:i w:val="0"/>
          <w:color w:val="4F46E5"/>
          <w:sz w:val="22"/>
        </w:rPr>
        <w:t xml:space="preserve">Eval framework: </w:t>
      </w:r>
      <w:r>
        <w:rPr>
          <w:rFonts w:ascii="Arial" w:hAnsi="Arial" w:eastAsia="Arial"/>
          <w:b w:val="0"/>
          <w:i w:val="0"/>
          <w:color w:val="374151"/>
          <w:sz w:val="22"/>
        </w:rPr>
        <w:t>write test cases for agent behaviour as code. Run them on every deploy like a unit test suite. Catches regressions before they hit production.</w:t>
      </w:r>
    </w:p>
    <w:p>
      <w:pPr>
        <w:pStyle w:val="ListBullet"/>
        <w:spacing w:before="40" w:after="60"/>
      </w:pPr>
      <w:r>
        <w:rPr>
          <w:rFonts w:ascii="Arial" w:hAnsi="Arial" w:eastAsia="Arial"/>
          <w:b/>
          <w:i w:val="0"/>
          <w:color w:val="4F46E5"/>
          <w:sz w:val="22"/>
        </w:rPr>
        <w:t xml:space="preserve">Long-term memory: </w:t>
      </w:r>
      <w:r>
        <w:rPr>
          <w:rFonts w:ascii="Arial" w:hAnsi="Arial" w:eastAsia="Arial"/>
          <w:b w:val="0"/>
          <w:i w:val="0"/>
          <w:color w:val="374151"/>
          <w:sz w:val="22"/>
        </w:rPr>
        <w:t>vector store integration for persistent retrieval across runs. Episodic memory for agents that need to learn from past interactions.</w:t>
      </w:r>
    </w:p>
    <w:tbl>
      <w:tblPr>
        <w:tblW w:type="auto" w:w="0"/>
        <w:jc w:val="center"/>
        <w:tblLayout w:type="fixed"/>
        <w:tblLook w:firstColumn="1" w:firstRow="1" w:lastColumn="0" w:lastRow="0" w:noHBand="0" w:noVBand="1" w:val="04A0"/>
      </w:tblPr>
      <w:tblGrid>
        <w:gridCol w:w="9360"/>
      </w:tblGrid>
      <w:tr>
        <w:tc>
          <w:tcPr>
            <w:tcW w:type="dxa" w:w="9360"/>
            <w:shd w:fill="F0EFFF"/>
            <w:tcBorders>
              <w:top w:val="single" w:sz="6" w:space="0" w:color="E5E7EB"/>
              <w:left w:val="single" w:sz="6" w:space="0" w:color="E5E7EB"/>
              <w:bottom w:val="single" w:sz="6" w:space="0" w:color="E5E7EB"/>
              <w:right w:val="single" w:sz="6" w:space="0" w:color="E5E7EB"/>
            </w:tcBorders>
            <w:tcMar>
              <w:top w:w="160" w:type="dxa"/>
              <w:start w:w="220" w:type="dxa"/>
              <w:bottom w:w="160" w:type="dxa"/>
              <w:end w:w="220" w:type="dxa"/>
            </w:tcMar>
          </w:tcPr>
          <w:p>
            <w:r>
              <w:rPr>
                <w:rFonts w:ascii="Arial" w:hAnsi="Arial" w:eastAsia="Arial"/>
                <w:b/>
                <w:i w:val="0"/>
                <w:color w:val="4F46E5"/>
                <w:sz w:val="22"/>
              </w:rPr>
              <w:t xml:space="preserve">Name meaning: </w:t>
            </w:r>
            <w:r>
              <w:rPr>
                <w:rFonts w:ascii="Arial" w:hAnsi="Arial" w:eastAsia="Arial"/>
                <w:b/>
                <w:i w:val="0"/>
                <w:color w:val="1A1A2E"/>
                <w:sz w:val="22"/>
              </w:rPr>
              <w:t>5to1r</w:t>
            </w:r>
          </w:p>
          <w:p>
            <w:pPr>
              <w:spacing w:before="40"/>
            </w:pPr>
            <w:r>
              <w:rPr>
                <w:rFonts w:ascii="Arial" w:hAnsi="Arial" w:eastAsia="Arial"/>
                <w:b w:val="0"/>
                <w:i w:val="0"/>
                <w:color w:val="6B7280"/>
                <w:sz w:val="20"/>
              </w:rPr>
              <w:t>Five signals reduced to one truth — cost, latency, tool calls, decisions, and failures unified into a single observable stream.</w:t>
            </w:r>
          </w:p>
        </w:tc>
      </w:tr>
    </w:tbl>
    <w:p/>
    <w:p>
      <w:r>
        <w:br w:type="page"/>
      </w:r>
    </w:p>
    <w:p>
      <w:pPr>
        <w:pStyle w:val="Heading1"/>
        <w:spacing w:before="480" w:after="160"/>
      </w:pPr>
      <w:r>
        <w:rPr>
          <w:rFonts w:ascii="Arial" w:hAnsi="Arial" w:eastAsia="Arial"/>
          <w:b/>
          <w:i w:val="0"/>
          <w:color w:val="1A1A2E"/>
          <w:sz w:val="36"/>
        </w:rPr>
        <w:t>3. Who It's For</w:t>
      </w:r>
    </w:p>
    <w:p>
      <w:pPr>
        <w:spacing w:before="60" w:after="100"/>
      </w:pPr>
      <w:r>
        <w:rPr>
          <w:rFonts w:ascii="Arial" w:hAnsi="Arial" w:eastAsia="Arial"/>
          <w:b w:val="0"/>
          <w:i w:val="0"/>
          <w:color w:val="374151"/>
          <w:sz w:val="22"/>
        </w:rPr>
        <w:t>5to1r targets software engineers and engineering teams building AI-powered products. Three primary personas:</w:t>
      </w:r>
    </w:p>
    <w:tbl>
      <w:tblPr>
        <w:tblW w:type="auto" w:w="0"/>
        <w:jc w:val="center"/>
        <w:tblLayout w:type="fixed"/>
        <w:tblLook w:firstColumn="1" w:firstRow="1" w:lastColumn="0" w:lastRow="0" w:noHBand="0" w:noVBand="1" w:val="04A0"/>
      </w:tblPr>
      <w:tblGrid>
        <w:gridCol w:w="4680"/>
        <w:gridCol w:w="4680"/>
      </w:tblGrid>
      <w:tr>
        <w:tc>
          <w:tcPr>
            <w:tcW w:type="dxa" w:w="244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Startup engineer</w:t>
            </w:r>
          </w:p>
        </w:tc>
        <w:tc>
          <w:tcPr>
            <w:tcW w:type="dxa" w:w="691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Building an AI product — customer support agent, research automation, coding assistant. Has a working prototype, needs it reliable at scale. Does not want to build infrastructure. Will pay for time saved.</w:t>
            </w:r>
          </w:p>
        </w:tc>
      </w:tr>
      <w:tr>
        <w:tc>
          <w:tcPr>
            <w:tcW w:type="dxa" w:w="244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Platform / ML team</w:t>
            </w:r>
          </w:p>
        </w:tc>
        <w:tc>
          <w:tcPr>
            <w:tcW w:type="dxa" w:w="691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At a company with 200 to 2,000 employees, fielding requests from multiple internal product teams all wanting to ship agents. Needs central governance, monitoring, and a standard stack.</w:t>
            </w:r>
          </w:p>
        </w:tc>
      </w:tr>
      <w:tr>
        <w:tc>
          <w:tcPr>
            <w:tcW w:type="dxa" w:w="244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AI consultant / agency</w:t>
            </w:r>
          </w:p>
        </w:tc>
        <w:tc>
          <w:tcPr>
            <w:tcW w:type="dxa" w:w="691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Builds agents for clients repeatedly. Wants a reusable, deployable stack that does not require rebuilding plumbing from scratch on each engagement.</w:t>
            </w:r>
          </w:p>
        </w:tc>
      </w:tr>
    </w:tbl>
    <w:p/>
    <w:p>
      <w:pPr>
        <w:spacing w:before="240" w:after="80"/>
      </w:pPr>
      <w:r>
        <w:rPr>
          <w:rFonts w:ascii="Arial" w:hAnsi="Arial" w:eastAsia="Arial"/>
          <w:b/>
          <w:i w:val="0"/>
          <w:color w:val="1A1A2E"/>
          <w:sz w:val="22"/>
        </w:rPr>
        <w:t>Market size</w:t>
      </w:r>
    </w:p>
    <w:p>
      <w:pPr>
        <w:spacing w:before="60" w:after="100"/>
      </w:pPr>
      <w:r>
        <w:rPr>
          <w:rFonts w:ascii="Arial" w:hAnsi="Arial" w:eastAsia="Arial"/>
          <w:b w:val="0"/>
          <w:i w:val="0"/>
          <w:color w:val="374151"/>
          <w:sz w:val="22"/>
        </w:rPr>
        <w:t>The global AI infrastructure market is growing at over 30% per year. More specifically:</w:t>
      </w:r>
    </w:p>
    <w:p>
      <w:pPr>
        <w:pStyle w:val="ListBullet"/>
        <w:spacing w:before="40" w:after="60"/>
      </w:pPr>
      <w:r>
        <w:rPr>
          <w:rFonts w:ascii="Arial" w:hAnsi="Arial" w:eastAsia="Arial"/>
          <w:b w:val="0"/>
          <w:i w:val="0"/>
          <w:color w:val="374151"/>
          <w:sz w:val="22"/>
        </w:rPr>
        <w:t>Over 4 million developers are actively using LLM APIs today, a number that doubles roughly every 12 months.</w:t>
      </w:r>
    </w:p>
    <w:p>
      <w:pPr>
        <w:pStyle w:val="ListBullet"/>
        <w:spacing w:before="40" w:after="60"/>
      </w:pPr>
      <w:r>
        <w:rPr>
          <w:rFonts w:ascii="Arial" w:hAnsi="Arial" w:eastAsia="Arial"/>
          <w:b w:val="0"/>
          <w:i w:val="0"/>
          <w:color w:val="374151"/>
          <w:sz w:val="22"/>
        </w:rPr>
        <w:t>The agent-specific tooling market is nascent but accelerating rapidly — every major AI product company is now moving from single LLM calls to multi-step agent workflows.</w:t>
      </w:r>
    </w:p>
    <w:p>
      <w:pPr>
        <w:pStyle w:val="ListBullet"/>
        <w:spacing w:before="40" w:after="60"/>
      </w:pPr>
      <w:r>
        <w:rPr>
          <w:rFonts w:ascii="Arial" w:hAnsi="Arial" w:eastAsia="Arial"/>
          <w:b w:val="0"/>
          <w:i w:val="0"/>
          <w:color w:val="374151"/>
          <w:sz w:val="22"/>
        </w:rPr>
        <w:t>Comparable developer infrastructure companies (Datadog, Segment, LaunchDarkly) built $1B+ businesses serving far smaller developer populations.</w:t>
      </w:r>
    </w:p>
    <w:p>
      <w:r>
        <w:br w:type="page"/>
      </w:r>
    </w:p>
    <w:p>
      <w:pPr>
        <w:pStyle w:val="Heading1"/>
        <w:spacing w:before="480" w:after="160"/>
      </w:pPr>
      <w:r>
        <w:rPr>
          <w:rFonts w:ascii="Arial" w:hAnsi="Arial" w:eastAsia="Arial"/>
          <w:b/>
          <w:i w:val="0"/>
          <w:color w:val="1A1A2E"/>
          <w:sz w:val="36"/>
        </w:rPr>
        <w:t>4. Business Model</w:t>
      </w:r>
    </w:p>
    <w:p>
      <w:pPr>
        <w:spacing w:before="60" w:after="100"/>
      </w:pPr>
      <w:r>
        <w:rPr>
          <w:rFonts w:ascii="Arial" w:hAnsi="Arial" w:eastAsia="Arial"/>
          <w:b w:val="0"/>
          <w:i w:val="0"/>
          <w:color w:val="374151"/>
          <w:sz w:val="22"/>
        </w:rPr>
        <w:t>5to1r follows the proven developer infrastructure pricing playbook: free to start, usage-based to grow, enterprise contracts at scale.</w:t>
      </w:r>
    </w:p>
    <w:tbl>
      <w:tblPr>
        <w:tblW w:type="auto" w:w="0"/>
        <w:jc w:val="center"/>
        <w:tblLayout w:type="fixed"/>
        <w:tblLook w:firstColumn="1" w:firstRow="1" w:lastColumn="0" w:lastRow="0" w:noHBand="0" w:noVBand="1" w:val="04A0"/>
      </w:tblPr>
      <w:tblGrid>
        <w:gridCol w:w="4680"/>
        <w:gridCol w:w="4680"/>
      </w:tblGrid>
      <w:tr>
        <w:tc>
          <w:tcPr>
            <w:tcW w:type="dxa" w:w="244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Free tier</w:t>
            </w:r>
          </w:p>
        </w:tc>
        <w:tc>
          <w:tcPr>
            <w:tcW w:type="dxa" w:w="691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Up to 50,000 spans per month. Full trace viewer and basic dashboards. Unlimited team members. No credit card required. Designed to get developers hooked before they pay.</w:t>
            </w:r>
          </w:p>
        </w:tc>
      </w:tr>
      <w:tr>
        <w:tc>
          <w:tcPr>
            <w:tcW w:type="dxa" w:w="244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Pro — $49/month</w:t>
            </w:r>
          </w:p>
        </w:tc>
        <w:tc>
          <w:tcPr>
            <w:tcW w:type="dxa" w:w="691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Up to 5 million spans per month. Run replay, cost alerts, 90-day history, priority support. Per-seat pricing for small teams ($19/seat/month above 3 seats).</w:t>
            </w:r>
          </w:p>
        </w:tc>
      </w:tr>
      <w:tr>
        <w:tc>
          <w:tcPr>
            <w:tcW w:type="dxa" w:w="244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Team — $299/month</w:t>
            </w:r>
          </w:p>
        </w:tc>
        <w:tc>
          <w:tcPr>
            <w:tcW w:type="dxa" w:w="691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Up to 50 million spans per month. Eval engine, long-term memory, SOC 2 compliance reports, SLA, dedicated Slack channel.</w:t>
            </w:r>
          </w:p>
        </w:tc>
      </w:tr>
      <w:tr>
        <w:tc>
          <w:tcPr>
            <w:tcW w:type="dxa" w:w="244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Enterprise — custom</w:t>
            </w:r>
          </w:p>
        </w:tc>
        <w:tc>
          <w:tcPr>
            <w:tcW w:type="dxa" w:w="691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Unlimited spans, SSO, audit logs, data residency, custom retention, on-prem deployment option, dedicated solutions engineer.</w:t>
            </w:r>
          </w:p>
        </w:tc>
      </w:tr>
    </w:tbl>
    <w:p/>
    <w:p>
      <w:pPr>
        <w:spacing w:before="240" w:after="80"/>
      </w:pPr>
      <w:r>
        <w:rPr>
          <w:rFonts w:ascii="Arial" w:hAnsi="Arial" w:eastAsia="Arial"/>
          <w:b/>
          <w:i w:val="0"/>
          <w:color w:val="1A1A2E"/>
          <w:sz w:val="22"/>
        </w:rPr>
        <w:t>Revenue levers</w:t>
      </w:r>
    </w:p>
    <w:p>
      <w:pPr>
        <w:pStyle w:val="ListBullet"/>
        <w:spacing w:before="40" w:after="60"/>
      </w:pPr>
      <w:r>
        <w:rPr>
          <w:rFonts w:ascii="Arial" w:hAnsi="Arial" w:eastAsia="Arial"/>
          <w:b/>
          <w:i w:val="0"/>
          <w:color w:val="4F46E5"/>
          <w:sz w:val="22"/>
        </w:rPr>
        <w:t xml:space="preserve">Usage-based expansion: </w:t>
      </w:r>
      <w:r>
        <w:rPr>
          <w:rFonts w:ascii="Arial" w:hAnsi="Arial" w:eastAsia="Arial"/>
          <w:b w:val="0"/>
          <w:i w:val="0"/>
          <w:color w:val="374151"/>
          <w:sz w:val="22"/>
        </w:rPr>
        <w:t>customers grow into higher tiers naturally as their agent usage scales. Revenue grows with customer success.</w:t>
      </w:r>
    </w:p>
    <w:p>
      <w:pPr>
        <w:pStyle w:val="ListBullet"/>
        <w:spacing w:before="40" w:after="60"/>
      </w:pPr>
      <w:r>
        <w:rPr>
          <w:rFonts w:ascii="Arial" w:hAnsi="Arial" w:eastAsia="Arial"/>
          <w:b/>
          <w:i w:val="0"/>
          <w:color w:val="4F46E5"/>
          <w:sz w:val="22"/>
        </w:rPr>
        <w:t xml:space="preserve">Seat expansion: </w:t>
      </w:r>
      <w:r>
        <w:rPr>
          <w:rFonts w:ascii="Arial" w:hAnsi="Arial" w:eastAsia="Arial"/>
          <w:b w:val="0"/>
          <w:i w:val="0"/>
          <w:color w:val="374151"/>
          <w:sz w:val="22"/>
        </w:rPr>
        <w:t>once one engineer adopts 5to1r, the team follows. Observability tools spread horizontally across engineering organisations.</w:t>
      </w:r>
    </w:p>
    <w:p>
      <w:pPr>
        <w:pStyle w:val="ListBullet"/>
        <w:spacing w:before="40" w:after="60"/>
      </w:pPr>
      <w:r>
        <w:rPr>
          <w:rFonts w:ascii="Arial" w:hAnsi="Arial" w:eastAsia="Arial"/>
          <w:b/>
          <w:i w:val="0"/>
          <w:color w:val="4F46E5"/>
          <w:sz w:val="22"/>
        </w:rPr>
        <w:t xml:space="preserve">Enterprise upsell: </w:t>
      </w:r>
      <w:r>
        <w:rPr>
          <w:rFonts w:ascii="Arial" w:hAnsi="Arial" w:eastAsia="Arial"/>
          <w:b w:val="0"/>
          <w:i w:val="0"/>
          <w:color w:val="374151"/>
          <w:sz w:val="22"/>
        </w:rPr>
        <w:t>compliance, governance, and audit features unlock large contract value from regulated industries (fintech, healthcare, legal).</w:t>
      </w:r>
    </w:p>
    <w:tbl>
      <w:tblPr>
        <w:tblW w:type="auto" w:w="0"/>
        <w:jc w:val="center"/>
        <w:tblLayout w:type="fixed"/>
        <w:tblLook w:firstColumn="1" w:firstRow="1" w:lastColumn="0" w:lastRow="0" w:noHBand="0" w:noVBand="1" w:val="04A0"/>
      </w:tblPr>
      <w:tblGrid>
        <w:gridCol w:w="9360"/>
      </w:tblGrid>
      <w:tr>
        <w:tc>
          <w:tcPr>
            <w:tcW w:type="dxa" w:w="9360"/>
            <w:shd w:fill="F0EFFF"/>
            <w:tcBorders>
              <w:top w:val="single" w:sz="6" w:space="0" w:color="E5E7EB"/>
              <w:left w:val="single" w:sz="6" w:space="0" w:color="E5E7EB"/>
              <w:bottom w:val="single" w:sz="6" w:space="0" w:color="E5E7EB"/>
              <w:right w:val="single" w:sz="6" w:space="0" w:color="E5E7EB"/>
            </w:tcBorders>
            <w:tcMar>
              <w:top w:w="160" w:type="dxa"/>
              <w:start w:w="220" w:type="dxa"/>
              <w:bottom w:w="160" w:type="dxa"/>
              <w:end w:w="220" w:type="dxa"/>
            </w:tcMar>
          </w:tcPr>
          <w:p>
            <w:r>
              <w:rPr>
                <w:rFonts w:ascii="Arial" w:hAnsi="Arial" w:eastAsia="Arial"/>
                <w:b/>
                <w:i w:val="0"/>
                <w:color w:val="4F46E5"/>
                <w:sz w:val="22"/>
              </w:rPr>
              <w:t xml:space="preserve">Key metric: </w:t>
            </w:r>
            <w:r>
              <w:rPr>
                <w:rFonts w:ascii="Arial" w:hAnsi="Arial" w:eastAsia="Arial"/>
                <w:b/>
                <w:i w:val="0"/>
                <w:color w:val="1A1A2E"/>
                <w:sz w:val="22"/>
              </w:rPr>
              <w:t>Net Revenue Retention target: 130%+</w:t>
            </w:r>
          </w:p>
          <w:p>
            <w:pPr>
              <w:spacing w:before="40"/>
            </w:pPr>
            <w:r>
              <w:rPr>
                <w:rFonts w:ascii="Arial" w:hAnsi="Arial" w:eastAsia="Arial"/>
                <w:b w:val="0"/>
                <w:i w:val="0"/>
                <w:color w:val="6B7280"/>
                <w:sz w:val="20"/>
              </w:rPr>
              <w:t>Customers spend more over time as agent usage grows — the same dynamic that made Datadog and Twilio great businesses.</w:t>
            </w:r>
          </w:p>
        </w:tc>
      </w:tr>
    </w:tbl>
    <w:p/>
    <w:p>
      <w:r>
        <w:br w:type="page"/>
      </w:r>
    </w:p>
    <w:p>
      <w:pPr>
        <w:pStyle w:val="Heading1"/>
        <w:spacing w:before="480" w:after="160"/>
      </w:pPr>
      <w:r>
        <w:rPr>
          <w:rFonts w:ascii="Arial" w:hAnsi="Arial" w:eastAsia="Arial"/>
          <w:b/>
          <w:i w:val="0"/>
          <w:color w:val="1A1A2E"/>
          <w:sz w:val="36"/>
        </w:rPr>
        <w:t>5. Technology Stack</w:t>
      </w:r>
    </w:p>
    <w:p>
      <w:pPr>
        <w:spacing w:before="60" w:after="100"/>
      </w:pPr>
      <w:r>
        <w:rPr>
          <w:rFonts w:ascii="Arial" w:hAnsi="Arial" w:eastAsia="Arial"/>
          <w:b w:val="0"/>
          <w:i w:val="0"/>
          <w:color w:val="374151"/>
          <w:sz w:val="22"/>
        </w:rPr>
        <w:t>5to1r is built on a modern, fully serverless stack optimised for speed of shipping at MVP stage and reliability at scale.</w:t>
      </w:r>
    </w:p>
    <w:tbl>
      <w:tblPr>
        <w:tblW w:type="auto" w:w="0"/>
        <w:jc w:val="center"/>
        <w:tblLayout w:type="fixed"/>
        <w:tblLook w:firstColumn="1" w:firstRow="1" w:lastColumn="0" w:lastRow="0" w:noHBand="0" w:noVBand="1" w:val="04A0"/>
      </w:tblPr>
      <w:tblGrid>
        <w:gridCol w:w="4680"/>
        <w:gridCol w:w="4680"/>
      </w:tblGrid>
      <w:tr>
        <w:tc>
          <w:tcPr>
            <w:tcW w:type="dxa" w:w="223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Framework</w:t>
            </w:r>
          </w:p>
        </w:tc>
        <w:tc>
          <w:tcPr>
            <w:tcW w:type="dxa" w:w="712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Next.js 15 (App Router) — full-stack, server + client components, API routes for span ingestion.</w:t>
            </w:r>
          </w:p>
        </w:tc>
      </w:tr>
      <w:tr>
        <w:tc>
          <w:tcPr>
            <w:tcW w:type="dxa" w:w="223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Auth</w:t>
            </w:r>
          </w:p>
        </w:tc>
        <w:tc>
          <w:tcPr>
            <w:tcW w:type="dxa" w:w="712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Clerk — user auth, org/team management, API key issuance for the SDK. Ships in hours not days.</w:t>
            </w:r>
          </w:p>
        </w:tc>
      </w:tr>
      <w:tr>
        <w:tc>
          <w:tcPr>
            <w:tcW w:type="dxa" w:w="223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App database</w:t>
            </w:r>
          </w:p>
        </w:tc>
        <w:tc>
          <w:tcPr>
            <w:tcW w:type="dxa" w:w="712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Convex — reactive, real-time database. The trace viewer updates live as spans arrive. No polling, no websocket setup.</w:t>
            </w:r>
          </w:p>
        </w:tc>
      </w:tr>
      <w:tr>
        <w:tc>
          <w:tcPr>
            <w:tcW w:type="dxa" w:w="223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Span / trace storage</w:t>
            </w:r>
          </w:p>
        </w:tc>
        <w:tc>
          <w:tcPr>
            <w:tcW w:type="dxa" w:w="712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Tinybird — ClickHouse-under-the-hood as a managed service. Handles billions of spans with millisecond aggregation queries. Purpose-built for this write pattern.</w:t>
            </w:r>
          </w:p>
        </w:tc>
      </w:tr>
      <w:tr>
        <w:tc>
          <w:tcPr>
            <w:tcW w:type="dxa" w:w="223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Background jobs</w:t>
            </w:r>
          </w:p>
        </w:tc>
        <w:tc>
          <w:tcPr>
            <w:tcW w:type="dxa" w:w="712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Inngest — serverless job queue for span ingestion pipeline. Handles retries, concurrency, event-driven flows with no infrastructure to manage.</w:t>
            </w:r>
          </w:p>
        </w:tc>
      </w:tr>
      <w:tr>
        <w:tc>
          <w:tcPr>
            <w:tcW w:type="dxa" w:w="223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Cold storage</w:t>
            </w:r>
          </w:p>
        </w:tc>
        <w:tc>
          <w:tcPr>
            <w:tcW w:type="dxa" w:w="712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AWS S3 + Parquet — full span payloads archived cheaply. Queried with DuckDB for run replay on historical data.</w:t>
            </w:r>
          </w:p>
        </w:tc>
      </w:tr>
      <w:tr>
        <w:tc>
          <w:tcPr>
            <w:tcW w:type="dxa" w:w="223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UI components</w:t>
            </w:r>
          </w:p>
        </w:tc>
        <w:tc>
          <w:tcPr>
            <w:tcW w:type="dxa" w:w="712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shadcn/ui + Tailwind — professional trace viewer UI without a design system from scratch.</w:t>
            </w:r>
          </w:p>
        </w:tc>
      </w:tr>
      <w:tr>
        <w:tc>
          <w:tcPr>
            <w:tcW w:type="dxa" w:w="223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Charts</w:t>
            </w:r>
          </w:p>
        </w:tc>
        <w:tc>
          <w:tcPr>
            <w:tcW w:type="dxa" w:w="712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Recharts (custom span timeline) + Tremor (cost and metric dashboards).</w:t>
            </w:r>
          </w:p>
        </w:tc>
      </w:tr>
      <w:tr>
        <w:tc>
          <w:tcPr>
            <w:tcW w:type="dxa" w:w="223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SDK</w:t>
            </w:r>
          </w:p>
        </w:tc>
        <w:tc>
          <w:tcPr>
            <w:tcW w:type="dxa" w:w="712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Python package (PyPI) and TypeScript npm package. One decorator, zero config, model-agnostic.</w:t>
            </w:r>
          </w:p>
        </w:tc>
      </w:tr>
    </w:tbl>
    <w:p/>
    <w:p>
      <w:pPr>
        <w:spacing w:before="240" w:after="80"/>
      </w:pPr>
      <w:r>
        <w:rPr>
          <w:rFonts w:ascii="Arial" w:hAnsi="Arial" w:eastAsia="Arial"/>
          <w:b/>
          <w:i w:val="0"/>
          <w:color w:val="1A1A2E"/>
          <w:sz w:val="22"/>
        </w:rPr>
        <w:t>A span arriving — end to end</w:t>
      </w:r>
    </w:p>
    <w:p>
      <w:pPr>
        <w:spacing w:before="60" w:after="100"/>
      </w:pPr>
      <w:r>
        <w:rPr>
          <w:rFonts w:ascii="Arial" w:hAnsi="Arial" w:eastAsia="Arial"/>
          <w:b w:val="0"/>
          <w:i w:val="0"/>
          <w:color w:val="374151"/>
          <w:sz w:val="22"/>
        </w:rPr>
        <w:t>SDK sends span  →  Next.js API route validates + authenticates  →  Inngest job picks it up  →  writes to Tinybird  →  Convex mutation fires  →  trace viewer updates live in the browser.</w:t>
      </w:r>
    </w:p>
    <w:p>
      <w:r>
        <w:br w:type="page"/>
      </w:r>
    </w:p>
    <w:p>
      <w:pPr>
        <w:pStyle w:val="Heading1"/>
        <w:spacing w:before="480" w:after="160"/>
      </w:pPr>
      <w:r>
        <w:rPr>
          <w:rFonts w:ascii="Arial" w:hAnsi="Arial" w:eastAsia="Arial"/>
          <w:b/>
          <w:i w:val="0"/>
          <w:color w:val="1A1A2E"/>
          <w:sz w:val="36"/>
        </w:rPr>
        <w:t>6. Competitive Landscape</w:t>
      </w:r>
    </w:p>
    <w:p>
      <w:pPr>
        <w:spacing w:before="60" w:after="100"/>
      </w:pPr>
      <w:r>
        <w:rPr>
          <w:rFonts w:ascii="Arial" w:hAnsi="Arial" w:eastAsia="Arial"/>
          <w:b w:val="0"/>
          <w:i w:val="0"/>
          <w:color w:val="374151"/>
          <w:sz w:val="22"/>
        </w:rPr>
        <w:t>The agent observability space is early. Existing tools fall into three buckets, each with meaningful gaps.</w:t>
      </w:r>
    </w:p>
    <w:tbl>
      <w:tblPr>
        <w:tblW w:type="auto" w:w="0"/>
        <w:jc w:val="center"/>
        <w:tblLayout w:type="fixed"/>
        <w:tblLook w:firstColumn="1" w:firstRow="1" w:lastColumn="0" w:lastRow="0" w:noHBand="0" w:noVBand="1" w:val="04A0"/>
      </w:tblPr>
      <w:tblGrid>
        <w:gridCol w:w="4680"/>
        <w:gridCol w:w="4680"/>
      </w:tblGrid>
      <w:tr>
        <w:tc>
          <w:tcPr>
            <w:tcW w:type="dxa" w:w="2880"/>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LangSmith (LangChain)</w:t>
            </w:r>
          </w:p>
        </w:tc>
        <w:tc>
          <w:tcPr>
            <w:tcW w:type="dxa" w:w="6480"/>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Trace viewer tied to the LangChain framework. Model-agnostic only in theory — deeply integrated with LangChain primitives. Teams not using LangChain are left out.</w:t>
            </w:r>
          </w:p>
        </w:tc>
      </w:tr>
      <w:tr>
        <w:tc>
          <w:tcPr>
            <w:tcW w:type="dxa" w:w="2880"/>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Weights &amp; Biases (Weave)</w:t>
            </w:r>
          </w:p>
        </w:tc>
        <w:tc>
          <w:tcPr>
            <w:tcW w:type="dxa" w:w="6480"/>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Excellent for ML experiment tracking. Weak on agent-specific features — tool registries, failure recovery, eval-as-code. Better for model training than production agents.</w:t>
            </w:r>
          </w:p>
        </w:tc>
      </w:tr>
      <w:tr>
        <w:tc>
          <w:tcPr>
            <w:tcW w:type="dxa" w:w="2880"/>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Datadog / Honeycomb</w:t>
            </w:r>
          </w:p>
        </w:tc>
        <w:tc>
          <w:tcPr>
            <w:tcW w:type="dxa" w:w="6480"/>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General distributed tracing. Works for agents but requires significant custom instrumentation. No agent-native concepts (tool calls, memory, cost per LLM call).</w:t>
            </w:r>
          </w:p>
        </w:tc>
      </w:tr>
      <w:tr>
        <w:tc>
          <w:tcPr>
            <w:tcW w:type="dxa" w:w="2880"/>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Helicone / Braintrust</w:t>
            </w:r>
          </w:p>
        </w:tc>
        <w:tc>
          <w:tcPr>
            <w:tcW w:type="dxa" w:w="6480"/>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LLM call logging tools, not agent tools. Track individual LLM API requests but cannot model a multi-step agent run with tool orchestration.</w:t>
            </w:r>
          </w:p>
        </w:tc>
      </w:tr>
      <w:tr>
        <w:tc>
          <w:tcPr>
            <w:tcW w:type="dxa" w:w="2880"/>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5to1r</w:t>
            </w:r>
          </w:p>
        </w:tc>
        <w:tc>
          <w:tcPr>
            <w:tcW w:type="dxa" w:w="6480"/>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Framework-agnostic, model-agnostic, agent-native. Built from the ground up for multi-step agentic workflows. The only platform with trace + runtime + evals in one product.</w:t>
            </w:r>
          </w:p>
        </w:tc>
      </w:tr>
    </w:tbl>
    <w:p/>
    <w:p>
      <w:pPr>
        <w:spacing w:before="240" w:after="80"/>
      </w:pPr>
      <w:r>
        <w:rPr>
          <w:rFonts w:ascii="Arial" w:hAnsi="Arial" w:eastAsia="Arial"/>
          <w:b/>
          <w:i w:val="0"/>
          <w:color w:val="1A1A2E"/>
          <w:sz w:val="22"/>
        </w:rPr>
        <w:t>Defensibility</w:t>
      </w:r>
    </w:p>
    <w:p>
      <w:pPr>
        <w:pStyle w:val="ListBullet"/>
        <w:spacing w:before="40" w:after="60"/>
      </w:pPr>
      <w:r>
        <w:rPr>
          <w:rFonts w:ascii="Arial" w:hAnsi="Arial" w:eastAsia="Arial"/>
          <w:b/>
          <w:i w:val="0"/>
          <w:color w:val="4F46E5"/>
          <w:sz w:val="22"/>
        </w:rPr>
        <w:t xml:space="preserve">Model-agnostic positioning: </w:t>
      </w:r>
      <w:r>
        <w:rPr>
          <w:rFonts w:ascii="Arial" w:hAnsi="Arial" w:eastAsia="Arial"/>
          <w:b w:val="0"/>
          <w:i w:val="0"/>
          <w:color w:val="374151"/>
          <w:sz w:val="22"/>
        </w:rPr>
        <w:t>works with any LLM. This is the thing the hyperscaler-backed tools cannot credibly claim.</w:t>
      </w:r>
    </w:p>
    <w:p>
      <w:pPr>
        <w:pStyle w:val="ListBullet"/>
        <w:spacing w:before="40" w:after="60"/>
      </w:pPr>
      <w:r>
        <w:rPr>
          <w:rFonts w:ascii="Arial" w:hAnsi="Arial" w:eastAsia="Arial"/>
          <w:b/>
          <w:i w:val="0"/>
          <w:color w:val="4F46E5"/>
          <w:sz w:val="22"/>
        </w:rPr>
        <w:t xml:space="preserve">Eval lock-in: </w:t>
      </w:r>
      <w:r>
        <w:rPr>
          <w:rFonts w:ascii="Arial" w:hAnsi="Arial" w:eastAsia="Arial"/>
          <w:b w:val="0"/>
          <w:i w:val="0"/>
          <w:color w:val="374151"/>
          <w:sz w:val="22"/>
        </w:rPr>
        <w:t>once a team has written their agent test suite on 5to1r, switching costs become substantial — equivalent to migrating a unit test suite.</w:t>
      </w:r>
    </w:p>
    <w:p>
      <w:pPr>
        <w:pStyle w:val="ListBullet"/>
        <w:spacing w:before="40" w:after="60"/>
      </w:pPr>
      <w:r>
        <w:rPr>
          <w:rFonts w:ascii="Arial" w:hAnsi="Arial" w:eastAsia="Arial"/>
          <w:b/>
          <w:i w:val="0"/>
          <w:color w:val="4F46E5"/>
          <w:sz w:val="22"/>
        </w:rPr>
        <w:t xml:space="preserve">Trace data network effects: </w:t>
      </w:r>
      <w:r>
        <w:rPr>
          <w:rFonts w:ascii="Arial" w:hAnsi="Arial" w:eastAsia="Arial"/>
          <w:b w:val="0"/>
          <w:i w:val="0"/>
          <w:color w:val="374151"/>
          <w:sz w:val="22"/>
        </w:rPr>
        <w:t>aggregated span data across customers creates benchmarking and anomaly detection capabilities no single-tenant tool can replicate.</w:t>
      </w:r>
    </w:p>
    <w:p>
      <w:r>
        <w:br w:type="page"/>
      </w:r>
    </w:p>
    <w:p>
      <w:pPr>
        <w:pStyle w:val="Heading1"/>
        <w:spacing w:before="480" w:after="160"/>
      </w:pPr>
      <w:r>
        <w:rPr>
          <w:rFonts w:ascii="Arial" w:hAnsi="Arial" w:eastAsia="Arial"/>
          <w:b/>
          <w:i w:val="0"/>
          <w:color w:val="1A1A2E"/>
          <w:sz w:val="36"/>
        </w:rPr>
        <w:t>7. Go-to-Market</w:t>
      </w:r>
    </w:p>
    <w:p>
      <w:pPr>
        <w:spacing w:before="60" w:after="100"/>
      </w:pPr>
      <w:r>
        <w:rPr>
          <w:rFonts w:ascii="Arial" w:hAnsi="Arial" w:eastAsia="Arial"/>
          <w:b w:val="0"/>
          <w:i w:val="0"/>
          <w:color w:val="374151"/>
          <w:sz w:val="22"/>
        </w:rPr>
        <w:t>Developer tools grow bottom-up. Engineers adopt the product, bring it to their team, and eventually the team signs an enterprise contract. The entire motion starts with a developer having a great experience with the free tier.</w:t>
      </w:r>
    </w:p>
    <w:p>
      <w:pPr>
        <w:spacing w:before="240" w:after="80"/>
      </w:pPr>
      <w:r>
        <w:rPr>
          <w:rFonts w:ascii="Arial" w:hAnsi="Arial" w:eastAsia="Arial"/>
          <w:b/>
          <w:i w:val="0"/>
          <w:color w:val="1A1A2E"/>
          <w:sz w:val="22"/>
        </w:rPr>
        <w:t>Phase 1: Get the first 100 developers</w:t>
      </w:r>
    </w:p>
    <w:p>
      <w:pPr>
        <w:pStyle w:val="ListBullet"/>
        <w:spacing w:before="40" w:after="60"/>
      </w:pPr>
      <w:r>
        <w:rPr>
          <w:rFonts w:ascii="Arial" w:hAnsi="Arial" w:eastAsia="Arial"/>
          <w:b/>
          <w:i w:val="0"/>
          <w:color w:val="4F46E5"/>
          <w:sz w:val="22"/>
        </w:rPr>
        <w:t xml:space="preserve">Open source the SDK: </w:t>
      </w:r>
      <w:r>
        <w:rPr>
          <w:rFonts w:ascii="Arial" w:hAnsi="Arial" w:eastAsia="Arial"/>
          <w:b w:val="0"/>
          <w:i w:val="0"/>
          <w:color w:val="374151"/>
          <w:sz w:val="22"/>
        </w:rPr>
        <w:t>the SDK is open source on GitHub from day one. Engineers can inspect it, trust it, and contribute to it. Closed-source SDKs create friction at adoption.</w:t>
      </w:r>
    </w:p>
    <w:p>
      <w:pPr>
        <w:pStyle w:val="ListBullet"/>
        <w:spacing w:before="40" w:after="60"/>
      </w:pPr>
      <w:r>
        <w:rPr>
          <w:rFonts w:ascii="Arial" w:hAnsi="Arial" w:eastAsia="Arial"/>
          <w:b/>
          <w:i w:val="0"/>
          <w:color w:val="4F46E5"/>
          <w:sz w:val="22"/>
        </w:rPr>
        <w:t xml:space="preserve">Launch on Hacker News and Product Hunt: </w:t>
      </w:r>
      <w:r>
        <w:rPr>
          <w:rFonts w:ascii="Arial" w:hAnsi="Arial" w:eastAsia="Arial"/>
          <w:b w:val="0"/>
          <w:i w:val="0"/>
          <w:color w:val="374151"/>
          <w:sz w:val="22"/>
        </w:rPr>
        <w:t>Show HN posts for developer tools consistently drive thousands of signups when the product is genuinely useful. Target launch week at HN.</w:t>
      </w:r>
    </w:p>
    <w:p>
      <w:pPr>
        <w:pStyle w:val="ListBullet"/>
        <w:spacing w:before="40" w:after="60"/>
      </w:pPr>
      <w:r>
        <w:rPr>
          <w:rFonts w:ascii="Arial" w:hAnsi="Arial" w:eastAsia="Arial"/>
          <w:b/>
          <w:i w:val="0"/>
          <w:color w:val="4F46E5"/>
          <w:sz w:val="22"/>
        </w:rPr>
        <w:t xml:space="preserve">Build in public: </w:t>
      </w:r>
      <w:r>
        <w:rPr>
          <w:rFonts w:ascii="Arial" w:hAnsi="Arial" w:eastAsia="Arial"/>
          <w:b w:val="0"/>
          <w:i w:val="0"/>
          <w:color w:val="374151"/>
          <w:sz w:val="22"/>
        </w:rPr>
        <w:t>weekly posts on X/Twitter and LinkedIn showing the trace viewer catching real agent bugs. Before-and-after content resonates with the target audience.</w:t>
      </w:r>
    </w:p>
    <w:p>
      <w:pPr>
        <w:pStyle w:val="ListBullet"/>
        <w:spacing w:before="40" w:after="60"/>
      </w:pPr>
      <w:r>
        <w:rPr>
          <w:rFonts w:ascii="Arial" w:hAnsi="Arial" w:eastAsia="Arial"/>
          <w:b/>
          <w:i w:val="0"/>
          <w:color w:val="4F46E5"/>
          <w:sz w:val="22"/>
        </w:rPr>
        <w:t xml:space="preserve">Reddit and Discord: </w:t>
      </w:r>
      <w:r>
        <w:rPr>
          <w:rFonts w:ascii="Arial" w:hAnsi="Arial" w:eastAsia="Arial"/>
          <w:b w:val="0"/>
          <w:i w:val="0"/>
          <w:color w:val="374151"/>
          <w:sz w:val="22"/>
        </w:rPr>
        <w:t>r/MachineLearning, r/LocalLLaMA, Latent Space Discord, AI Engineer Discord. Answer questions and share the tool organically — no spam.</w:t>
      </w:r>
    </w:p>
    <w:p>
      <w:pPr>
        <w:pStyle w:val="ListBullet"/>
        <w:spacing w:before="40" w:after="60"/>
      </w:pPr>
      <w:r>
        <w:rPr>
          <w:rFonts w:ascii="Arial" w:hAnsi="Arial" w:eastAsia="Arial"/>
          <w:b/>
          <w:i w:val="0"/>
          <w:color w:val="4F46E5"/>
          <w:sz w:val="22"/>
        </w:rPr>
        <w:t xml:space="preserve">Write the missing documentation: </w:t>
      </w:r>
      <w:r>
        <w:rPr>
          <w:rFonts w:ascii="Arial" w:hAnsi="Arial" w:eastAsia="Arial"/>
          <w:b w:val="0"/>
          <w:i w:val="0"/>
          <w:color w:val="374151"/>
          <w:sz w:val="22"/>
        </w:rPr>
        <w:t>long-form tutorials on deploying agents reliably in production, handling LLM failures gracefully, managing token costs. SEO + genuine value.</w:t>
      </w:r>
    </w:p>
    <w:p>
      <w:pPr>
        <w:spacing w:before="240" w:after="80"/>
      </w:pPr>
      <w:r>
        <w:rPr>
          <w:rFonts w:ascii="Arial" w:hAnsi="Arial" w:eastAsia="Arial"/>
          <w:b/>
          <w:i w:val="0"/>
          <w:color w:val="1A1A2E"/>
          <w:sz w:val="22"/>
        </w:rPr>
        <w:t>Phase 2: Convert teams</w:t>
      </w:r>
    </w:p>
    <w:p>
      <w:pPr>
        <w:pStyle w:val="ListBullet"/>
        <w:spacing w:before="40" w:after="60"/>
      </w:pPr>
      <w:r>
        <w:rPr>
          <w:rFonts w:ascii="Arial" w:hAnsi="Arial" w:eastAsia="Arial"/>
          <w:b/>
          <w:i w:val="0"/>
          <w:color w:val="4F46E5"/>
          <w:sz w:val="22"/>
        </w:rPr>
        <w:t xml:space="preserve">In-product team sharing: </w:t>
      </w:r>
      <w:r>
        <w:rPr>
          <w:rFonts w:ascii="Arial" w:hAnsi="Arial" w:eastAsia="Arial"/>
          <w:b w:val="0"/>
          <w:i w:val="0"/>
          <w:color w:val="374151"/>
          <w:sz w:val="22"/>
        </w:rPr>
        <w:t>when an engineer shares a trace link with a colleague, the colleague lands in a read-only trace view — a natural invite mechanism.</w:t>
      </w:r>
    </w:p>
    <w:p>
      <w:pPr>
        <w:pStyle w:val="ListBullet"/>
        <w:spacing w:before="40" w:after="60"/>
      </w:pPr>
      <w:r>
        <w:rPr>
          <w:rFonts w:ascii="Arial" w:hAnsi="Arial" w:eastAsia="Arial"/>
          <w:b/>
          <w:i w:val="0"/>
          <w:color w:val="4F46E5"/>
          <w:sz w:val="22"/>
        </w:rPr>
        <w:t xml:space="preserve">Slack integration: </w:t>
      </w:r>
      <w:r>
        <w:rPr>
          <w:rFonts w:ascii="Arial" w:hAnsi="Arial" w:eastAsia="Arial"/>
          <w:b w:val="0"/>
          <w:i w:val="0"/>
          <w:color w:val="374151"/>
          <w:sz w:val="22"/>
        </w:rPr>
        <w:t>failure alerts posted to the team Slack channel expose 5to1r to every engineer on the team, not just the one who installed it.</w:t>
      </w:r>
    </w:p>
    <w:p>
      <w:pPr>
        <w:pStyle w:val="ListBullet"/>
        <w:spacing w:before="40" w:after="60"/>
      </w:pPr>
      <w:r>
        <w:rPr>
          <w:rFonts w:ascii="Arial" w:hAnsi="Arial" w:eastAsia="Arial"/>
          <w:b/>
          <w:i w:val="0"/>
          <w:color w:val="4F46E5"/>
          <w:sz w:val="22"/>
        </w:rPr>
        <w:t xml:space="preserve">Sales-assist at $5k+ MRR: </w:t>
      </w:r>
      <w:r>
        <w:rPr>
          <w:rFonts w:ascii="Arial" w:hAnsi="Arial" w:eastAsia="Arial"/>
          <w:b w:val="0"/>
          <w:i w:val="0"/>
          <w:color w:val="374151"/>
          <w:sz w:val="22"/>
        </w:rPr>
        <w:t>once inbound is consistent, a single sales engineer focuses on converting team plans to annual enterprise contracts.</w:t>
      </w:r>
    </w:p>
    <w:p>
      <w:pPr>
        <w:spacing w:before="240" w:after="80"/>
      </w:pPr>
      <w:r>
        <w:rPr>
          <w:rFonts w:ascii="Arial" w:hAnsi="Arial" w:eastAsia="Arial"/>
          <w:b/>
          <w:i w:val="0"/>
          <w:color w:val="1A1A2E"/>
          <w:sz w:val="22"/>
        </w:rPr>
        <w:t>Success milestones</w:t>
      </w:r>
    </w:p>
    <w:tbl>
      <w:tblPr>
        <w:tblW w:type="auto" w:w="0"/>
        <w:jc w:val="center"/>
        <w:tblLayout w:type="fixed"/>
        <w:tblLook w:firstColumn="1" w:firstRow="1" w:lastColumn="0" w:lastRow="0" w:noHBand="0" w:noVBand="1" w:val="04A0"/>
      </w:tblPr>
      <w:tblGrid>
        <w:gridCol w:w="4680"/>
        <w:gridCol w:w="4680"/>
      </w:tblGrid>
      <w:tr>
        <w:tc>
          <w:tcPr>
            <w:tcW w:type="dxa" w:w="187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Month 2</w:t>
            </w:r>
          </w:p>
        </w:tc>
        <w:tc>
          <w:tcPr>
            <w:tcW w:type="dxa" w:w="748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50 active SDK installs, 10 teams using weekly, first paying customer.</w:t>
            </w:r>
          </w:p>
        </w:tc>
      </w:tr>
      <w:tr>
        <w:tc>
          <w:tcPr>
            <w:tcW w:type="dxa" w:w="187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Month 4</w:t>
            </w:r>
          </w:p>
        </w:tc>
        <w:tc>
          <w:tcPr>
            <w:tcW w:type="dxa" w:w="748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500 active installs, 3 paying teams, $5k MRR.</w:t>
            </w:r>
          </w:p>
        </w:tc>
      </w:tr>
      <w:tr>
        <w:tc>
          <w:tcPr>
            <w:tcW w:type="dxa" w:w="187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Month 8</w:t>
            </w:r>
          </w:p>
        </w:tc>
        <w:tc>
          <w:tcPr>
            <w:tcW w:type="dxa" w:w="748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2,000 active installs, 20 paying teams, $30k MRR, first enterprise pilot.</w:t>
            </w:r>
          </w:p>
        </w:tc>
      </w:tr>
      <w:tr>
        <w:tc>
          <w:tcPr>
            <w:tcW w:type="dxa" w:w="187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Month 12</w:t>
            </w:r>
          </w:p>
        </w:tc>
        <w:tc>
          <w:tcPr>
            <w:tcW w:type="dxa" w:w="748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10,000 active installs, $100k MRR, 2 enterprise contracts signed.</w:t>
            </w:r>
          </w:p>
        </w:tc>
      </w:tr>
    </w:tbl>
    <w:p/>
    <w:p>
      <w:r>
        <w:br w:type="page"/>
      </w:r>
    </w:p>
    <w:p>
      <w:pPr>
        <w:pStyle w:val="Heading1"/>
        <w:spacing w:before="480" w:after="160"/>
      </w:pPr>
      <w:r>
        <w:rPr>
          <w:rFonts w:ascii="Arial" w:hAnsi="Arial" w:eastAsia="Arial"/>
          <w:b/>
          <w:i w:val="0"/>
          <w:color w:val="1A1A2E"/>
          <w:sz w:val="36"/>
        </w:rPr>
        <w:t>8. Build Roadmap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fill="4F46E5"/>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FFFFFF"/>
                <w:sz w:val="21"/>
              </w:rPr>
              <w:t>Phase</w:t>
            </w:r>
          </w:p>
        </w:tc>
        <w:tc>
          <w:tcPr>
            <w:tcW w:type="dxa" w:w="2016"/>
            <w:shd w:fill="4F46E5"/>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FFFFFF"/>
                <w:sz w:val="21"/>
              </w:rPr>
              <w:t>Timeline</w:t>
            </w:r>
          </w:p>
        </w:tc>
        <w:tc>
          <w:tcPr>
            <w:tcW w:type="dxa" w:w="2160"/>
            <w:shd w:fill="4F46E5"/>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FFFFFF"/>
                <w:sz w:val="21"/>
              </w:rPr>
              <w:t>Goal</w:t>
            </w:r>
          </w:p>
        </w:tc>
        <w:tc>
          <w:tcPr>
            <w:tcW w:type="dxa" w:w="3888"/>
            <w:shd w:fill="4F46E5"/>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FFFFFF"/>
                <w:sz w:val="21"/>
              </w:rPr>
              <w:t>What ships</w:t>
            </w:r>
          </w:p>
        </w:tc>
      </w:tr>
      <w:tr>
        <w:tc>
          <w:tcPr>
            <w:tcW w:type="dxa" w:w="1584"/>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MVP</w:t>
            </w:r>
          </w:p>
        </w:tc>
        <w:tc>
          <w:tcPr>
            <w:tcW w:type="dxa" w:w="2016"/>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Weeks 1–8</w:t>
            </w:r>
          </w:p>
        </w:tc>
        <w:tc>
          <w:tcPr>
            <w:tcW w:type="dxa" w:w="2160"/>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First users</w:t>
            </w:r>
          </w:p>
        </w:tc>
        <w:tc>
          <w:tcPr>
            <w:tcW w:type="dxa" w:w="3888"/>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SDK (Python + TS), trace ingestion API, trace viewer UI, cost dashboard, basic alerts.</w:t>
            </w:r>
          </w:p>
        </w:tc>
      </w:tr>
      <w:tr>
        <w:tc>
          <w:tcPr>
            <w:tcW w:type="dxa" w:w="1584"/>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Phase 2</w:t>
            </w:r>
          </w:p>
        </w:tc>
        <w:tc>
          <w:tcPr>
            <w:tcW w:type="dxa" w:w="2016"/>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Weeks 9–20</w:t>
            </w:r>
          </w:p>
        </w:tc>
        <w:tc>
          <w:tcPr>
            <w:tcW w:type="dxa" w:w="2160"/>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First revenue</w:t>
            </w:r>
          </w:p>
        </w:tc>
        <w:tc>
          <w:tcPr>
            <w:tcW w:type="dxa" w:w="3888"/>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Run replay, orchestrator, tool registry, short-term memory, failure recovery, team workspaces.</w:t>
            </w:r>
          </w:p>
        </w:tc>
      </w:tr>
      <w:tr>
        <w:tc>
          <w:tcPr>
            <w:tcW w:type="dxa" w:w="1584"/>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Phase 3</w:t>
            </w:r>
          </w:p>
        </w:tc>
        <w:tc>
          <w:tcPr>
            <w:tcW w:type="dxa" w:w="2016"/>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Month 6+</w:t>
            </w:r>
          </w:p>
        </w:tc>
        <w:tc>
          <w:tcPr>
            <w:tcW w:type="dxa" w:w="2160"/>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Enterprise-ready</w:t>
            </w:r>
          </w:p>
        </w:tc>
        <w:tc>
          <w:tcPr>
            <w:tcW w:type="dxa" w:w="3888"/>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0"/>
              </w:rPr>
              <w:t>Eval framework, long-term memory, SSO, audit logs, data residency, multi-agent support.</w:t>
            </w:r>
          </w:p>
        </w:tc>
      </w:tr>
    </w:tbl>
    <w:p/>
    <w:p>
      <w:pPr>
        <w:spacing w:before="240" w:after="80"/>
      </w:pPr>
      <w:r>
        <w:rPr>
          <w:rFonts w:ascii="Arial" w:hAnsi="Arial" w:eastAsia="Arial"/>
          <w:b/>
          <w:i w:val="0"/>
          <w:color w:val="1A1A2E"/>
          <w:sz w:val="22"/>
        </w:rPr>
        <w:t>MVP definition (what ships in week 8)</w:t>
      </w:r>
    </w:p>
    <w:p>
      <w:pPr>
        <w:pStyle w:val="ListBullet"/>
        <w:spacing w:before="40" w:after="60"/>
      </w:pPr>
      <w:r>
        <w:rPr>
          <w:rFonts w:ascii="Arial" w:hAnsi="Arial" w:eastAsia="Arial"/>
          <w:b w:val="0"/>
          <w:i w:val="0"/>
          <w:color w:val="374151"/>
          <w:sz w:val="22"/>
        </w:rPr>
        <w:t>Python SDK with one-line instrumentation and automatic span capture.</w:t>
      </w:r>
    </w:p>
    <w:p>
      <w:pPr>
        <w:pStyle w:val="ListBullet"/>
        <w:spacing w:before="40" w:after="60"/>
      </w:pPr>
      <w:r>
        <w:rPr>
          <w:rFonts w:ascii="Arial" w:hAnsi="Arial" w:eastAsia="Arial"/>
          <w:b w:val="0"/>
          <w:i w:val="0"/>
          <w:color w:val="374151"/>
          <w:sz w:val="22"/>
        </w:rPr>
        <w:t>TypeScript SDK with identical API surface for Next.js and Node.js projects.</w:t>
      </w:r>
    </w:p>
    <w:p>
      <w:pPr>
        <w:pStyle w:val="ListBullet"/>
        <w:spacing w:before="40" w:after="60"/>
      </w:pPr>
      <w:r>
        <w:rPr>
          <w:rFonts w:ascii="Arial" w:hAnsi="Arial" w:eastAsia="Arial"/>
          <w:b w:val="0"/>
          <w:i w:val="0"/>
          <w:color w:val="374151"/>
          <w:sz w:val="22"/>
        </w:rPr>
        <w:t>Span ingestion API endpoint with Clerk API key authentication.</w:t>
      </w:r>
    </w:p>
    <w:p>
      <w:pPr>
        <w:pStyle w:val="ListBullet"/>
        <w:spacing w:before="40" w:after="60"/>
      </w:pPr>
      <w:r>
        <w:rPr>
          <w:rFonts w:ascii="Arial" w:hAnsi="Arial" w:eastAsia="Arial"/>
          <w:b w:val="0"/>
          <w:i w:val="0"/>
          <w:color w:val="374151"/>
          <w:sz w:val="22"/>
        </w:rPr>
        <w:t>Real-time trace viewer: timeline of spans, click-to-inspect, run status.</w:t>
      </w:r>
    </w:p>
    <w:p>
      <w:pPr>
        <w:pStyle w:val="ListBullet"/>
        <w:spacing w:before="40" w:after="60"/>
      </w:pPr>
      <w:r>
        <w:rPr>
          <w:rFonts w:ascii="Arial" w:hAnsi="Arial" w:eastAsia="Arial"/>
          <w:b w:val="0"/>
          <w:i w:val="0"/>
          <w:color w:val="374151"/>
          <w:sz w:val="22"/>
        </w:rPr>
        <w:t>Cost dashboard: spend per run, per model, per agent, with daily/weekly aggregation.</w:t>
      </w:r>
    </w:p>
    <w:p>
      <w:pPr>
        <w:pStyle w:val="ListBullet"/>
        <w:spacing w:before="40" w:after="60"/>
      </w:pPr>
      <w:r>
        <w:rPr>
          <w:rFonts w:ascii="Arial" w:hAnsi="Arial" w:eastAsia="Arial"/>
          <w:b w:val="0"/>
          <w:i w:val="0"/>
          <w:color w:val="374151"/>
          <w:sz w:val="22"/>
        </w:rPr>
        <w:t>Email and Slack alerts on run failure or cost threshold breach.</w:t>
      </w:r>
    </w:p>
    <w:p>
      <w:pPr>
        <w:pStyle w:val="ListBullet"/>
        <w:spacing w:before="40" w:after="60"/>
      </w:pPr>
      <w:r>
        <w:rPr>
          <w:rFonts w:ascii="Arial" w:hAnsi="Arial" w:eastAsia="Arial"/>
          <w:b w:val="0"/>
          <w:i w:val="0"/>
          <w:color w:val="374151"/>
          <w:sz w:val="22"/>
        </w:rPr>
        <w:t>Hosted at 5to1r.com with Clerk-powered signup and Convex-backed real-time UI.</w:t>
      </w:r>
    </w:p>
    <w:p>
      <w:r>
        <w:br w:type="page"/>
      </w:r>
    </w:p>
    <w:p>
      <w:pPr>
        <w:pStyle w:val="Heading1"/>
        <w:spacing w:before="480" w:after="160"/>
      </w:pPr>
      <w:r>
        <w:rPr>
          <w:rFonts w:ascii="Arial" w:hAnsi="Arial" w:eastAsia="Arial"/>
          <w:b/>
          <w:i w:val="0"/>
          <w:color w:val="1A1A2E"/>
          <w:sz w:val="36"/>
        </w:rPr>
        <w:t>9. What We Need to Build This</w:t>
      </w:r>
    </w:p>
    <w:p>
      <w:pPr>
        <w:spacing w:before="60" w:after="100"/>
      </w:pPr>
      <w:r>
        <w:rPr>
          <w:rFonts w:ascii="Arial" w:hAnsi="Arial" w:eastAsia="Arial"/>
          <w:b w:val="0"/>
          <w:i w:val="0"/>
          <w:color w:val="374151"/>
          <w:sz w:val="22"/>
        </w:rPr>
        <w:t>A lean founding team can ship the MVP in 8 weeks and reach the first paying customers within 4 months. The core build requires:</w:t>
      </w:r>
    </w:p>
    <w:p>
      <w:pPr>
        <w:pStyle w:val="ListBullet"/>
        <w:spacing w:before="40" w:after="60"/>
      </w:pPr>
      <w:r>
        <w:rPr>
          <w:rFonts w:ascii="Arial" w:hAnsi="Arial" w:eastAsia="Arial"/>
          <w:b/>
          <w:i w:val="0"/>
          <w:color w:val="4F46E5"/>
          <w:sz w:val="22"/>
        </w:rPr>
        <w:t xml:space="preserve">1 full-stack engineer: </w:t>
      </w:r>
      <w:r>
        <w:rPr>
          <w:rFonts w:ascii="Arial" w:hAnsi="Arial" w:eastAsia="Arial"/>
          <w:b w:val="0"/>
          <w:i w:val="0"/>
          <w:color w:val="374151"/>
          <w:sz w:val="22"/>
        </w:rPr>
        <w:t>owns the Next.js app, Convex schema, Inngest jobs, and Tinybird integration. Should be comfortable with TypeScript end to end.</w:t>
      </w:r>
    </w:p>
    <w:p>
      <w:pPr>
        <w:pStyle w:val="ListBullet"/>
        <w:spacing w:before="40" w:after="60"/>
      </w:pPr>
      <w:r>
        <w:rPr>
          <w:rFonts w:ascii="Arial" w:hAnsi="Arial" w:eastAsia="Arial"/>
          <w:b/>
          <w:i w:val="0"/>
          <w:color w:val="4F46E5"/>
          <w:sz w:val="22"/>
        </w:rPr>
        <w:t xml:space="preserve">1 SDK engineer: </w:t>
      </w:r>
      <w:r>
        <w:rPr>
          <w:rFonts w:ascii="Arial" w:hAnsi="Arial" w:eastAsia="Arial"/>
          <w:b w:val="0"/>
          <w:i w:val="0"/>
          <w:color w:val="374151"/>
          <w:sz w:val="22"/>
        </w:rPr>
        <w:t>owns the Python and TypeScript SDKs, span serialisation, and the public API contract. Should have published open-source packages before.</w:t>
      </w:r>
    </w:p>
    <w:p>
      <w:pPr>
        <w:pStyle w:val="ListBullet"/>
        <w:spacing w:before="40" w:after="60"/>
      </w:pPr>
      <w:r>
        <w:rPr>
          <w:rFonts w:ascii="Arial" w:hAnsi="Arial" w:eastAsia="Arial"/>
          <w:b/>
          <w:i w:val="0"/>
          <w:color w:val="4F46E5"/>
          <w:sz w:val="22"/>
        </w:rPr>
        <w:t xml:space="preserve">1 product-focused founder: </w:t>
      </w:r>
      <w:r>
        <w:rPr>
          <w:rFonts w:ascii="Arial" w:hAnsi="Arial" w:eastAsia="Arial"/>
          <w:b w:val="0"/>
          <w:i w:val="0"/>
          <w:color w:val="374151"/>
          <w:sz w:val="22"/>
        </w:rPr>
        <w:t>handles positioning, go-to-market, customer conversations, and content. The person who writes the HN post and replies to every early user within an hour.</w:t>
      </w:r>
    </w:p>
    <w:p>
      <w:pPr>
        <w:spacing w:before="60" w:after="100"/>
      </w:pPr>
      <w:r>
        <w:rPr>
          <w:rFonts w:ascii="Arial" w:hAnsi="Arial" w:eastAsia="Arial"/>
          <w:b w:val="0"/>
          <w:i w:val="0"/>
          <w:color w:val="374151"/>
          <w:sz w:val="22"/>
        </w:rPr>
        <w:t>Two strong engineers with the right founder can compress this to a two-person team at launch — the SDK and app work can be parallelised with clear interfaces between them.</w:t>
      </w:r>
    </w:p>
    <w:p>
      <w:r>
        <w:br w:type="page"/>
      </w:r>
    </w:p>
    <w:p>
      <w:pPr>
        <w:pStyle w:val="Heading1"/>
        <w:spacing w:before="480" w:after="160"/>
      </w:pPr>
      <w:r>
        <w:rPr>
          <w:rFonts w:ascii="Arial" w:hAnsi="Arial" w:eastAsia="Arial"/>
          <w:b/>
          <w:i w:val="0"/>
          <w:color w:val="1A1A2E"/>
          <w:sz w:val="36"/>
        </w:rPr>
        <w:t>10. Financial Overview</w:t>
      </w:r>
    </w:p>
    <w:p>
      <w:pPr>
        <w:spacing w:before="240" w:after="80"/>
      </w:pPr>
      <w:r>
        <w:rPr>
          <w:rFonts w:ascii="Arial" w:hAnsi="Arial" w:eastAsia="Arial"/>
          <w:b/>
          <w:i w:val="0"/>
          <w:color w:val="1A1A2E"/>
          <w:sz w:val="22"/>
        </w:rPr>
        <w:t>Cost structure (monthly, MVP stage)</w:t>
      </w:r>
    </w:p>
    <w:tbl>
      <w:tblPr>
        <w:tblW w:type="auto" w:w="0"/>
        <w:jc w:val="center"/>
        <w:tblLayout w:type="fixed"/>
        <w:tblLook w:firstColumn="1" w:firstRow="1" w:lastColumn="0" w:lastRow="0" w:noHBand="0" w:noVBand="1" w:val="04A0"/>
      </w:tblPr>
      <w:tblGrid>
        <w:gridCol w:w="4680"/>
        <w:gridCol w:w="4680"/>
      </w:tblGrid>
      <w:tr>
        <w:tc>
          <w:tcPr>
            <w:tcW w:type="dxa" w:w="259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Clerk (auth)</w:t>
            </w:r>
          </w:p>
        </w:tc>
        <w:tc>
          <w:tcPr>
            <w:tcW w:type="dxa" w:w="676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~$25/month up to 10,000 MAU, then usage-based. Negligible at launch.</w:t>
            </w:r>
          </w:p>
        </w:tc>
      </w:tr>
      <w:tr>
        <w:tc>
          <w:tcPr>
            <w:tcW w:type="dxa" w:w="259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Convex (database)</w:t>
            </w:r>
          </w:p>
        </w:tc>
        <w:tc>
          <w:tcPr>
            <w:tcW w:type="dxa" w:w="676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Free tier covers 1M function calls/day. ~$25/month at early scale.</w:t>
            </w:r>
          </w:p>
        </w:tc>
      </w:tr>
      <w:tr>
        <w:tc>
          <w:tcPr>
            <w:tcW w:type="dxa" w:w="259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Tinybird (spans)</w:t>
            </w:r>
          </w:p>
        </w:tc>
        <w:tc>
          <w:tcPr>
            <w:tcW w:type="dxa" w:w="676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Free tier: 1B rows stored. Paid from ~$500/month at meaningful volume — offset by revenue well before you hit it.</w:t>
            </w:r>
          </w:p>
        </w:tc>
      </w:tr>
      <w:tr>
        <w:tc>
          <w:tcPr>
            <w:tcW w:type="dxa" w:w="259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Inngest (jobs)</w:t>
            </w:r>
          </w:p>
        </w:tc>
        <w:tc>
          <w:tcPr>
            <w:tcW w:type="dxa" w:w="676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Free tier: 50k events/month. $50/month at modest scale.</w:t>
            </w:r>
          </w:p>
        </w:tc>
      </w:tr>
      <w:tr>
        <w:tc>
          <w:tcPr>
            <w:tcW w:type="dxa" w:w="259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Vercel / hosting</w:t>
            </w:r>
          </w:p>
        </w:tc>
        <w:tc>
          <w:tcPr>
            <w:tcW w:type="dxa" w:w="676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$20/month Pro plan. Scales with traffic on usage-based pricing.</w:t>
            </w:r>
          </w:p>
        </w:tc>
      </w:tr>
      <w:tr>
        <w:tc>
          <w:tcPr>
            <w:tcW w:type="dxa" w:w="259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AWS S3 (cold storage)</w:t>
            </w:r>
          </w:p>
        </w:tc>
        <w:tc>
          <w:tcPr>
            <w:tcW w:type="dxa" w:w="676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~$0.023/GB. 1TB of span data = ~$23/month. Negligible.</w:t>
            </w:r>
          </w:p>
        </w:tc>
      </w:tr>
      <w:tr>
        <w:tc>
          <w:tcPr>
            <w:tcW w:type="dxa" w:w="259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Total burn (MVP)</w:t>
            </w:r>
          </w:p>
        </w:tc>
        <w:tc>
          <w:tcPr>
            <w:tcW w:type="dxa" w:w="676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Under $700/month in infrastructure. Minimal capital required to reach first revenue.</w:t>
            </w:r>
          </w:p>
        </w:tc>
      </w:tr>
    </w:tbl>
    <w:p/>
    <w:p>
      <w:pPr>
        <w:spacing w:before="240" w:after="80"/>
      </w:pPr>
      <w:r>
        <w:rPr>
          <w:rFonts w:ascii="Arial" w:hAnsi="Arial" w:eastAsia="Arial"/>
          <w:b/>
          <w:i w:val="0"/>
          <w:color w:val="1A1A2E"/>
          <w:sz w:val="22"/>
        </w:rPr>
        <w:t>Revenue model summary</w:t>
      </w:r>
    </w:p>
    <w:tbl>
      <w:tblPr>
        <w:tblW w:type="auto" w:w="0"/>
        <w:jc w:val="center"/>
        <w:tblLayout w:type="fixed"/>
        <w:tblLook w:firstColumn="1" w:firstRow="1" w:lastColumn="0" w:lastRow="0" w:noHBand="0" w:noVBand="1" w:val="04A0"/>
      </w:tblPr>
      <w:tblGrid>
        <w:gridCol w:w="4680"/>
        <w:gridCol w:w="4680"/>
      </w:tblGrid>
      <w:tr>
        <w:tc>
          <w:tcPr>
            <w:tcW w:type="dxa" w:w="244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Break-even</w:t>
            </w:r>
          </w:p>
        </w:tc>
        <w:tc>
          <w:tcPr>
            <w:tcW w:type="dxa" w:w="691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~15 Pro plan subscribers, or 2 Team plan subscribers. Achievable within 3 months of launch.</w:t>
            </w:r>
          </w:p>
        </w:tc>
      </w:tr>
      <w:tr>
        <w:tc>
          <w:tcPr>
            <w:tcW w:type="dxa" w:w="244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$10k MRR</w:t>
            </w:r>
          </w:p>
        </w:tc>
        <w:tc>
          <w:tcPr>
            <w:tcW w:type="dxa" w:w="691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~35 Pro + 10 Team subscribers. Target: month 5.</w:t>
            </w:r>
          </w:p>
        </w:tc>
      </w:tr>
      <w:tr>
        <w:tc>
          <w:tcPr>
            <w:tcW w:type="dxa" w:w="2448"/>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$100k MRR</w:t>
            </w:r>
          </w:p>
        </w:tc>
        <w:tc>
          <w:tcPr>
            <w:tcW w:type="dxa" w:w="6912"/>
            <w:vAlign w:val="top"/>
            <w:shd w:fill="F0E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Mix of Team and early Enterprise. Target: month 12.</w:t>
            </w:r>
          </w:p>
        </w:tc>
      </w:tr>
      <w:tr>
        <w:tc>
          <w:tcPr>
            <w:tcW w:type="dxa" w:w="2448"/>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i w:val="0"/>
                <w:color w:val="1A1A2E"/>
                <w:sz w:val="21"/>
              </w:rPr>
              <w:t>$1M ARR</w:t>
            </w:r>
          </w:p>
        </w:tc>
        <w:tc>
          <w:tcPr>
            <w:tcW w:type="dxa" w:w="6912"/>
            <w:vAlign w:val="top"/>
            <w:shd w:fill="FFFFFF"/>
            <w:tcBorders>
              <w:top w:val="single" w:sz="6" w:space="0" w:color="E5E7EB"/>
              <w:left w:val="single" w:sz="6" w:space="0" w:color="E5E7EB"/>
              <w:bottom w:val="single" w:sz="6" w:space="0" w:color="E5E7EB"/>
              <w:right w:val="single" w:sz="6" w:space="0" w:color="E5E7EB"/>
            </w:tcBorders>
            <w:tcMar>
              <w:top w:w="80" w:type="dxa"/>
              <w:start w:w="120" w:type="dxa"/>
              <w:bottom w:w="80" w:type="dxa"/>
              <w:end w:w="120" w:type="dxa"/>
            </w:tcMar>
          </w:tcPr>
          <w:p>
            <w:r>
              <w:rPr>
                <w:rFonts w:ascii="Arial" w:hAnsi="Arial" w:eastAsia="Arial"/>
                <w:b w:val="0"/>
                <w:i w:val="0"/>
                <w:color w:val="374151"/>
                <w:sz w:val="21"/>
              </w:rPr>
              <w:t>Proven go-to-market, 2-3 enterprise contracts, strong bottom-up PLG motion. Target: 18 months.</w:t>
            </w:r>
          </w:p>
        </w:tc>
      </w:tr>
    </w:tbl>
    <w:p/>
    <w:p>
      <w:r>
        <w:br w:type="page"/>
      </w:r>
    </w:p>
    <w:p>
      <w:pPr>
        <w:pStyle w:val="Heading1"/>
        <w:spacing w:before="480" w:after="160"/>
      </w:pPr>
      <w:r>
        <w:rPr>
          <w:rFonts w:ascii="Arial" w:hAnsi="Arial" w:eastAsia="Arial"/>
          <w:b/>
          <w:i w:val="0"/>
          <w:color w:val="1A1A2E"/>
          <w:sz w:val="36"/>
        </w:rPr>
        <w:t>11. The Opportunity</w:t>
      </w:r>
    </w:p>
    <w:tbl>
      <w:tblPr>
        <w:tblW w:type="auto" w:w="0"/>
        <w:jc w:val="center"/>
        <w:tblLayout w:type="fixed"/>
        <w:tblLook w:firstColumn="1" w:firstRow="1" w:lastColumn="0" w:lastRow="0" w:noHBand="0" w:noVBand="1" w:val="04A0"/>
      </w:tblPr>
      <w:tblGrid>
        <w:gridCol w:w="9360"/>
      </w:tblGrid>
      <w:tr>
        <w:tc>
          <w:tcPr>
            <w:tcW w:type="dxa" w:w="9360"/>
            <w:shd w:fill="1A1A2E"/>
            <w:tcBorders>
              <w:top w:val="single" w:sz="6" w:space="0" w:color="1A1A2E"/>
              <w:left w:val="single" w:sz="6" w:space="0" w:color="1A1A2E"/>
              <w:bottom w:val="single" w:sz="6" w:space="0" w:color="1A1A2E"/>
              <w:right w:val="single" w:sz="6" w:space="0" w:color="1A1A2E"/>
            </w:tcBorders>
            <w:tcMar>
              <w:top w:w="300" w:type="dxa"/>
              <w:start w:w="300" w:type="dxa"/>
              <w:bottom w:w="300" w:type="dxa"/>
              <w:end w:w="300" w:type="dxa"/>
            </w:tcMar>
          </w:tcPr>
          <w:p>
            <w:pPr>
              <w:jc w:val="center"/>
            </w:pPr>
            <w:r>
              <w:rPr>
                <w:rFonts w:ascii="Arial" w:hAnsi="Arial" w:eastAsia="Arial"/>
                <w:b/>
                <w:i w:val="0"/>
                <w:color w:val="FFFFFF"/>
                <w:sz w:val="26"/>
              </w:rPr>
              <w:t>Every team building AI agents today is flying blind.</w:t>
            </w:r>
          </w:p>
          <w:p>
            <w:pPr>
              <w:jc w:val="center"/>
            </w:pPr>
            <w:r>
              <w:rPr>
                <w:rFonts w:ascii="Arial" w:hAnsi="Arial" w:eastAsia="Arial"/>
                <w:b w:val="0"/>
                <w:i w:val="0"/>
                <w:color w:val="D1D5DB"/>
                <w:sz w:val="22"/>
              </w:rPr>
              <w:t>5to1r gives them eyes. The market is growing faster than any developer tooling category in a decade, the problem is real and urgent, and the window to establish the standard is open right now.</w:t>
            </w:r>
          </w:p>
          <w:p>
            <w:pPr>
              <w:jc w:val="center"/>
            </w:pPr>
            <w:r>
              <w:rPr>
                <w:rFonts w:ascii="Arial" w:hAnsi="Arial" w:eastAsia="Arial"/>
                <w:b/>
                <w:i w:val="0"/>
                <w:color w:val="A5B4FC"/>
                <w:sz w:val="28"/>
              </w:rPr>
              <w:t>5to1r.com</w:t>
            </w:r>
          </w:p>
        </w:tc>
      </w:tr>
    </w:tbl>
    <w:p>
      <w:r>
        <w:br w:type="page"/>
      </w:r>
    </w:p>
    <w:p>
      <w:pPr>
        <w:pStyle w:val="Heading1"/>
        <w:spacing w:before="480" w:after="160"/>
      </w:pPr>
      <w:r>
        <w:rPr>
          <w:rFonts w:ascii="Arial" w:hAnsi="Arial" w:eastAsia="Arial"/>
          <w:b/>
          <w:i w:val="0"/>
          <w:color w:val="1A1A2E"/>
          <w:sz w:val="36"/>
        </w:rPr>
        <w:t>Appendix — Starter Prompt for Your IDE Agent</w:t>
      </w:r>
    </w:p>
    <w:p>
      <w:pPr>
        <w:spacing w:before="60" w:after="100"/>
      </w:pPr>
      <w:r>
        <w:rPr>
          <w:rFonts w:ascii="Arial" w:hAnsi="Arial" w:eastAsia="Arial"/>
          <w:b w:val="0"/>
          <w:i w:val="0"/>
          <w:color w:val="374151"/>
          <w:sz w:val="22"/>
        </w:rPr>
        <w:t>Copy this prompt directly into Claude Code, Cursor, Windsurf, or any AI coding assistant to bootstrap the 5to1r codebase. It gives the agent everything it needs to understand the product and start building the MVP.</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6" w:space="0" w:color="E5E7EB"/>
              <w:left w:val="single" w:sz="6" w:space="0" w:color="E5E7EB"/>
              <w:bottom w:val="single" w:sz="6" w:space="0" w:color="E5E7EB"/>
              <w:right w:val="single" w:sz="6" w:space="0" w:color="E5E7EB"/>
            </w:tcBorders>
            <w:tcMar>
              <w:top w:w="160" w:type="dxa"/>
              <w:start w:w="180" w:type="dxa"/>
              <w:bottom w:w="160" w:type="dxa"/>
              <w:end w:w="180" w:type="dxa"/>
            </w:tcMar>
          </w:tcPr>
          <w:p>
            <w:pPr>
              <w:spacing w:after="40"/>
            </w:pPr>
            <w:r>
              <w:rPr>
                <w:rFonts w:ascii="Courier New" w:hAnsi="Courier New" w:eastAsia="Courier New"/>
                <w:b/>
                <w:i w:val="0"/>
                <w:color w:val="1A1A2E"/>
                <w:sz w:val="18"/>
              </w:rPr>
              <w:t>You are building 5to1r — an agent observability and runtime platform for developers.</w:t>
            </w:r>
          </w:p>
          <w:p>
            <w:pPr>
              <w:spacing w:after="40"/>
            </w:pPr>
            <w:r>
              <w:rPr>
                <w:rFonts w:ascii="Courier New" w:hAnsi="Courier New" w:eastAsia="Courier New"/>
                <w:b/>
                <w:i w:val="0"/>
                <w:color w:val="4F46E5"/>
                <w:sz w:val="18"/>
              </w:rPr>
              <w:t>## Product</w:t>
            </w:r>
          </w:p>
          <w:p>
            <w:pPr>
              <w:spacing w:after="40"/>
            </w:pPr>
            <w:r>
              <w:rPr>
                <w:rFonts w:ascii="Courier New" w:hAnsi="Courier New" w:eastAsia="Courier New"/>
                <w:b w:val="0"/>
                <w:i w:val="0"/>
                <w:color w:val="374151"/>
                <w:sz w:val="18"/>
              </w:rPr>
              <w:t>5to1r gives developers full visibility into every step an AI agent takes — the tools it calls, decisions it makes, cost it incurs, and why it fails. The MVP is a trace layer: an SDK that instruments any agent, an ingestion API that receives spans, and a real-time trace viewer UI.</w:t>
            </w:r>
          </w:p>
          <w:p>
            <w:pPr>
              <w:spacing w:after="40"/>
            </w:pPr>
            <w:r>
              <w:rPr>
                <w:rFonts w:ascii="Courier New" w:hAnsi="Courier New" w:eastAsia="Courier New"/>
                <w:b/>
                <w:i w:val="0"/>
                <w:color w:val="4F46E5"/>
                <w:sz w:val="18"/>
              </w:rPr>
              <w:t>## Tech stack</w:t>
            </w:r>
          </w:p>
          <w:p>
            <w:pPr>
              <w:spacing w:after="40"/>
            </w:pPr>
            <w:r>
              <w:rPr>
                <w:rFonts w:ascii="Courier New" w:hAnsi="Courier New" w:eastAsia="Courier New"/>
                <w:b w:val="0"/>
                <w:i w:val="0"/>
                <w:color w:val="374151"/>
                <w:sz w:val="18"/>
              </w:rPr>
              <w:t>- Framework: Next.js 15 App Router (TypeScript throughout)</w:t>
            </w:r>
          </w:p>
          <w:p>
            <w:pPr>
              <w:spacing w:after="40"/>
            </w:pPr>
            <w:r>
              <w:rPr>
                <w:rFonts w:ascii="Courier New" w:hAnsi="Courier New" w:eastAsia="Courier New"/>
                <w:b w:val="0"/>
                <w:i w:val="0"/>
                <w:color w:val="374151"/>
                <w:sz w:val="18"/>
              </w:rPr>
              <w:t>- Auth: Clerk (user auth, org workspaces, API key issuance for the SDK)</w:t>
            </w:r>
          </w:p>
          <w:p>
            <w:pPr>
              <w:spacing w:after="40"/>
            </w:pPr>
            <w:r>
              <w:rPr>
                <w:rFonts w:ascii="Courier New" w:hAnsi="Courier New" w:eastAsia="Courier New"/>
                <w:b w:val="0"/>
                <w:i w:val="0"/>
                <w:color w:val="374151"/>
                <w:sz w:val="18"/>
              </w:rPr>
              <w:t>- App DB: Convex (real-time reactive database — trace viewer updates live via Convex subscriptions)</w:t>
            </w:r>
          </w:p>
          <w:p>
            <w:pPr>
              <w:spacing w:after="40"/>
            </w:pPr>
            <w:r>
              <w:rPr>
                <w:rFonts w:ascii="Courier New" w:hAnsi="Courier New" w:eastAsia="Courier New"/>
                <w:b w:val="0"/>
                <w:i w:val="0"/>
                <w:color w:val="374151"/>
                <w:sz w:val="18"/>
              </w:rPr>
              <w:t>- Span storage: Tinybird (ClickHouse-backed, REST API, handles high-volume time-series span data)</w:t>
            </w:r>
          </w:p>
          <w:p>
            <w:pPr>
              <w:spacing w:after="40"/>
            </w:pPr>
            <w:r>
              <w:rPr>
                <w:rFonts w:ascii="Courier New" w:hAnsi="Courier New" w:eastAsia="Courier New"/>
                <w:b w:val="0"/>
                <w:i w:val="0"/>
                <w:color w:val="374151"/>
                <w:sz w:val="18"/>
              </w:rPr>
              <w:t>- Background jobs: Inngest (span ingestion pipeline — validate, write to Tinybird, trigger alerts)</w:t>
            </w:r>
          </w:p>
          <w:p>
            <w:pPr>
              <w:spacing w:after="40"/>
            </w:pPr>
            <w:r>
              <w:rPr>
                <w:rFonts w:ascii="Courier New" w:hAnsi="Courier New" w:eastAsia="Courier New"/>
                <w:b w:val="0"/>
                <w:i w:val="0"/>
                <w:color w:val="374151"/>
                <w:sz w:val="18"/>
              </w:rPr>
              <w:t>- Cold storage: AWS S3 + Parquet (full span payloads for run replay)</w:t>
            </w:r>
          </w:p>
          <w:p>
            <w:pPr>
              <w:spacing w:after="40"/>
            </w:pPr>
            <w:r>
              <w:rPr>
                <w:rFonts w:ascii="Courier New" w:hAnsi="Courier New" w:eastAsia="Courier New"/>
                <w:b w:val="0"/>
                <w:i w:val="0"/>
                <w:color w:val="374151"/>
                <w:sz w:val="18"/>
              </w:rPr>
              <w:t>- UI: shadcn/ui + Tailwind CSS</w:t>
            </w:r>
          </w:p>
          <w:p>
            <w:pPr>
              <w:spacing w:after="40"/>
            </w:pPr>
            <w:r>
              <w:rPr>
                <w:rFonts w:ascii="Courier New" w:hAnsi="Courier New" w:eastAsia="Courier New"/>
                <w:b w:val="0"/>
                <w:i w:val="0"/>
                <w:color w:val="374151"/>
                <w:sz w:val="18"/>
              </w:rPr>
              <w:t>- Charts: Recharts (span timeline) + Tremor (cost dashboards)</w:t>
            </w:r>
          </w:p>
          <w:p>
            <w:pPr>
              <w:spacing w:after="40"/>
            </w:pPr>
            <w:r>
              <w:rPr>
                <w:rFonts w:ascii="Courier New" w:hAnsi="Courier New" w:eastAsia="Courier New"/>
                <w:b w:val="0"/>
                <w:i w:val="0"/>
                <w:color w:val="374151"/>
                <w:sz w:val="18"/>
              </w:rPr>
              <w:t>- SDK: published as Python (PyPI) and TypeScript (npm) packages</w:t>
            </w:r>
          </w:p>
          <w:p>
            <w:pPr>
              <w:spacing w:after="40"/>
            </w:pPr>
            <w:r>
              <w:rPr>
                <w:rFonts w:ascii="Courier New" w:hAnsi="Courier New" w:eastAsia="Courier New"/>
                <w:b/>
                <w:i w:val="0"/>
                <w:color w:val="4F46E5"/>
                <w:sz w:val="18"/>
              </w:rPr>
              <w:t>## Data model — core concepts</w:t>
            </w:r>
          </w:p>
          <w:p>
            <w:pPr>
              <w:spacing w:after="40"/>
            </w:pPr>
            <w:r>
              <w:rPr>
                <w:rFonts w:ascii="Courier New" w:hAnsi="Courier New" w:eastAsia="Courier New"/>
                <w:b w:val="0"/>
                <w:i w:val="0"/>
                <w:color w:val="374151"/>
                <w:sz w:val="18"/>
              </w:rPr>
              <w:t>- Project: belongs to a Clerk org. Has API keys.</w:t>
            </w:r>
          </w:p>
          <w:p>
            <w:pPr>
              <w:spacing w:after="40"/>
            </w:pPr>
            <w:r>
              <w:rPr>
                <w:rFonts w:ascii="Courier New" w:hAnsi="Courier New" w:eastAsia="Courier New"/>
                <w:b w:val="0"/>
                <w:i w:val="0"/>
                <w:color w:val="374151"/>
                <w:sz w:val="18"/>
              </w:rPr>
              <w:t>- AgentRun: a single execution of an agent. Has runId, status, totalCostUsd, startedAt, finishedAt.</w:t>
            </w:r>
          </w:p>
          <w:p>
            <w:pPr>
              <w:spacing w:after="40"/>
            </w:pPr>
            <w:r>
              <w:rPr>
                <w:rFonts w:ascii="Courier New" w:hAnsi="Courier New" w:eastAsia="Courier New"/>
                <w:b w:val="0"/>
                <w:i w:val="0"/>
                <w:color w:val="374151"/>
                <w:sz w:val="18"/>
              </w:rPr>
              <w:t>- Span: a single step within a run. Has spanId, runId, spanType (llm_call | tool_call | decision | error), input (JSON), output (JSON), latencyMs, costUsd, modelId, toolName.</w:t>
            </w:r>
          </w:p>
          <w:p>
            <w:pPr>
              <w:spacing w:after="40"/>
            </w:pPr>
            <w:r>
              <w:rPr>
                <w:rFonts w:ascii="Courier New" w:hAnsi="Courier New" w:eastAsia="Courier New"/>
                <w:b w:val="0"/>
                <w:i w:val="0"/>
                <w:color w:val="374151"/>
                <w:sz w:val="18"/>
              </w:rPr>
              <w:t>- Alert: triggered when a run fails, exceeds costThresholdUsd, or exceeds durationMs.</w:t>
            </w:r>
          </w:p>
          <w:p>
            <w:pPr>
              <w:spacing w:after="40"/>
            </w:pPr>
            <w:r>
              <w:rPr>
                <w:rFonts w:ascii="Courier New" w:hAnsi="Courier New" w:eastAsia="Courier New"/>
                <w:b/>
                <w:i w:val="0"/>
                <w:color w:val="4F46E5"/>
                <w:sz w:val="18"/>
              </w:rPr>
              <w:t>## Span ingestion flow</w:t>
            </w:r>
          </w:p>
          <w:p>
            <w:pPr>
              <w:spacing w:after="40"/>
            </w:pPr>
            <w:r>
              <w:rPr>
                <w:rFonts w:ascii="Courier New" w:hAnsi="Courier New" w:eastAsia="Courier New"/>
                <w:b w:val="0"/>
                <w:i w:val="0"/>
                <w:color w:val="374151"/>
                <w:sz w:val="18"/>
              </w:rPr>
              <w:t>SDK POST /api/ingest (with Bearer API key) → Next.js route validates key via Clerk → Inngest job fires → writes span row to Tinybird → upserts AgentRun summary in Convex → Convex subscription pushes update to trace viewer UI in real time.</w:t>
            </w:r>
          </w:p>
          <w:p>
            <w:pPr>
              <w:spacing w:after="40"/>
            </w:pPr>
            <w:r>
              <w:rPr>
                <w:rFonts w:ascii="Courier New" w:hAnsi="Courier New" w:eastAsia="Courier New"/>
                <w:b/>
                <w:i w:val="0"/>
                <w:color w:val="4F46E5"/>
                <w:sz w:val="18"/>
              </w:rPr>
              <w:t>## MVP scope — build in this order</w:t>
            </w:r>
          </w:p>
          <w:p>
            <w:pPr>
              <w:spacing w:after="40"/>
            </w:pPr>
            <w:r>
              <w:rPr>
                <w:rFonts w:ascii="Courier New" w:hAnsi="Courier New" w:eastAsia="Courier New"/>
                <w:b w:val="0"/>
                <w:i w:val="0"/>
                <w:color w:val="374151"/>
                <w:sz w:val="18"/>
              </w:rPr>
              <w:t>1. Project scaffold: Next.js 15 + Clerk + Convex + Tailwind + shadcn/ui</w:t>
            </w:r>
          </w:p>
          <w:p>
            <w:pPr>
              <w:spacing w:after="40"/>
            </w:pPr>
            <w:r>
              <w:rPr>
                <w:rFonts w:ascii="Courier New" w:hAnsi="Courier New" w:eastAsia="Courier New"/>
                <w:b w:val="0"/>
                <w:i w:val="0"/>
                <w:color w:val="374151"/>
                <w:sz w:val="18"/>
              </w:rPr>
              <w:t>2. Convex schema: projects, agentRuns, alerts tables</w:t>
            </w:r>
          </w:p>
          <w:p>
            <w:pPr>
              <w:spacing w:after="40"/>
            </w:pPr>
            <w:r>
              <w:rPr>
                <w:rFonts w:ascii="Courier New" w:hAnsi="Courier New" w:eastAsia="Courier New"/>
                <w:b w:val="0"/>
                <w:i w:val="0"/>
                <w:color w:val="374151"/>
                <w:sz w:val="18"/>
              </w:rPr>
              <w:t>3. Tinybird datasource: spans table with runId, spanType, input, output, latencyMs, costUsd, modelId, toolName, createdAt</w:t>
            </w:r>
          </w:p>
          <w:p>
            <w:pPr>
              <w:spacing w:after="40"/>
            </w:pPr>
            <w:r>
              <w:rPr>
                <w:rFonts w:ascii="Courier New" w:hAnsi="Courier New" w:eastAsia="Courier New"/>
                <w:b w:val="0"/>
                <w:i w:val="0"/>
                <w:color w:val="374151"/>
                <w:sz w:val="18"/>
              </w:rPr>
              <w:t>4. POST /api/ingest endpoint: Clerk API key validation + Inngest event emit</w:t>
            </w:r>
          </w:p>
          <w:p>
            <w:pPr>
              <w:spacing w:after="40"/>
            </w:pPr>
            <w:r>
              <w:rPr>
                <w:rFonts w:ascii="Courier New" w:hAnsi="Courier New" w:eastAsia="Courier New"/>
                <w:b w:val="0"/>
                <w:i w:val="0"/>
                <w:color w:val="374151"/>
                <w:sz w:val="18"/>
              </w:rPr>
              <w:t>5. Inngest function: validate span → write to Tinybird → upsert Convex agentRun</w:t>
            </w:r>
          </w:p>
          <w:p>
            <w:pPr>
              <w:spacing w:after="40"/>
            </w:pPr>
            <w:r>
              <w:rPr>
                <w:rFonts w:ascii="Courier New" w:hAnsi="Courier New" w:eastAsia="Courier New"/>
                <w:b w:val="0"/>
                <w:i w:val="0"/>
                <w:color w:val="374151"/>
                <w:sz w:val="18"/>
              </w:rPr>
              <w:t>6. Trace viewer page (/runs/[runId]): Convex live query for run metadata + Tinybird REST API for span timeline, rendered with Recharts</w:t>
            </w:r>
          </w:p>
          <w:p>
            <w:pPr>
              <w:spacing w:after="40"/>
            </w:pPr>
            <w:r>
              <w:rPr>
                <w:rFonts w:ascii="Courier New" w:hAnsi="Courier New" w:eastAsia="Courier New"/>
                <w:b w:val="0"/>
                <w:i w:val="0"/>
                <w:color w:val="374151"/>
                <w:sz w:val="18"/>
              </w:rPr>
              <w:t>7. Cost dashboard (/dashboard): Tinybird aggregation queries, Tremor chart components</w:t>
            </w:r>
          </w:p>
          <w:p>
            <w:pPr>
              <w:spacing w:after="40"/>
            </w:pPr>
            <w:r>
              <w:rPr>
                <w:rFonts w:ascii="Courier New" w:hAnsi="Courier New" w:eastAsia="Courier New"/>
                <w:b w:val="0"/>
                <w:i w:val="0"/>
                <w:color w:val="374151"/>
                <w:sz w:val="18"/>
              </w:rPr>
              <w:t>8. Alert rules: Convex scheduled function checks run completion, emits Slack webhook if threshold breached</w:t>
            </w:r>
          </w:p>
          <w:p>
            <w:pPr>
              <w:spacing w:after="40"/>
            </w:pPr>
            <w:r>
              <w:rPr>
                <w:rFonts w:ascii="Courier New" w:hAnsi="Courier New" w:eastAsia="Courier New"/>
                <w:b w:val="0"/>
                <w:i w:val="0"/>
                <w:color w:val="374151"/>
                <w:sz w:val="18"/>
              </w:rPr>
              <w:t>9. Python SDK: pip-installable package with @trace_agent decorator that POSTs spans to the ingestion API</w:t>
            </w:r>
          </w:p>
          <w:p>
            <w:pPr>
              <w:spacing w:after="40"/>
            </w:pPr>
            <w:r>
              <w:rPr>
                <w:rFonts w:ascii="Courier New" w:hAnsi="Courier New" w:eastAsia="Courier New"/>
                <w:b w:val="0"/>
                <w:i w:val="0"/>
                <w:color w:val="374151"/>
                <w:sz w:val="18"/>
              </w:rPr>
              <w:t>10. TypeScript SDK: npm package with identical API surface</w:t>
            </w:r>
          </w:p>
          <w:p>
            <w:pPr>
              <w:spacing w:after="40"/>
            </w:pPr>
            <w:r>
              <w:rPr>
                <w:rFonts w:ascii="Courier New" w:hAnsi="Courier New" w:eastAsia="Courier New"/>
                <w:b/>
                <w:i w:val="0"/>
                <w:color w:val="4F46E5"/>
                <w:sz w:val="18"/>
              </w:rPr>
              <w:t>## Constraints and conventions</w:t>
            </w:r>
          </w:p>
          <w:p>
            <w:pPr>
              <w:spacing w:after="40"/>
            </w:pPr>
            <w:r>
              <w:rPr>
                <w:rFonts w:ascii="Courier New" w:hAnsi="Courier New" w:eastAsia="Courier New"/>
                <w:b w:val="0"/>
                <w:i w:val="0"/>
                <w:color w:val="374151"/>
                <w:sz w:val="18"/>
              </w:rPr>
              <w:t>- All timestamps UTC, stored as ISO 8601 strings</w:t>
            </w:r>
          </w:p>
          <w:p>
            <w:pPr>
              <w:spacing w:after="40"/>
            </w:pPr>
            <w:r>
              <w:rPr>
                <w:rFonts w:ascii="Courier New" w:hAnsi="Courier New" w:eastAsia="Courier New"/>
                <w:b w:val="0"/>
                <w:i w:val="0"/>
                <w:color w:val="374151"/>
                <w:sz w:val="18"/>
              </w:rPr>
              <w:t>- All costs in USD as float with 6 decimal places (LLM costs are tiny per call)</w:t>
            </w:r>
          </w:p>
          <w:p>
            <w:pPr>
              <w:spacing w:after="40"/>
            </w:pPr>
            <w:r>
              <w:rPr>
                <w:rFonts w:ascii="Courier New" w:hAnsi="Courier New" w:eastAsia="Courier New"/>
                <w:b w:val="0"/>
                <w:i w:val="0"/>
                <w:color w:val="374151"/>
                <w:sz w:val="18"/>
              </w:rPr>
              <w:t>- Span inputs/outputs stored as JSON strings (not nested objects) in Tinybird for query simplicity</w:t>
            </w:r>
          </w:p>
          <w:p>
            <w:pPr>
              <w:spacing w:after="40"/>
            </w:pPr>
            <w:r>
              <w:rPr>
                <w:rFonts w:ascii="Courier New" w:hAnsi="Courier New" w:eastAsia="Courier New"/>
                <w:b w:val="0"/>
                <w:i w:val="0"/>
                <w:color w:val="374151"/>
                <w:sz w:val="18"/>
              </w:rPr>
              <w:t>- API keys prefixed with '5t1r_' for easy identification</w:t>
            </w:r>
          </w:p>
          <w:p>
            <w:pPr>
              <w:spacing w:after="40"/>
            </w:pPr>
            <w:r>
              <w:rPr>
                <w:rFonts w:ascii="Courier New" w:hAnsi="Courier New" w:eastAsia="Courier New"/>
                <w:b w:val="0"/>
                <w:i w:val="0"/>
                <w:color w:val="374151"/>
                <w:sz w:val="18"/>
              </w:rPr>
              <w:t>- Multi-tenant from day one: every Convex query and Tinybird query scoped to projectId</w:t>
            </w:r>
          </w:p>
          <w:p>
            <w:pPr>
              <w:spacing w:after="40"/>
            </w:pPr>
            <w:r>
              <w:rPr>
                <w:rFonts w:ascii="Courier New" w:hAnsi="Courier New" w:eastAsia="Courier New"/>
                <w:b w:val="0"/>
                <w:i w:val="0"/>
                <w:color w:val="374151"/>
                <w:sz w:val="18"/>
              </w:rPr>
              <w:t>- Environment variables: CLERK_SECRET_KEY, CONVEX_DEPLOYMENT, TINYBIRD_TOKEN, INNGEST_SIGNING_KEY, INNGEST_EVENT_KEY, SLACK_WEBHOOK_URL</w:t>
            </w:r>
          </w:p>
          <w:p>
            <w:pPr>
              <w:spacing w:after="40"/>
            </w:pPr>
            <w:r>
              <w:rPr>
                <w:rFonts w:ascii="Courier New" w:hAnsi="Courier New" w:eastAsia="Courier New"/>
                <w:b w:val="0"/>
                <w:i w:val="0"/>
                <w:color w:val="374151"/>
                <w:sz w:val="18"/>
              </w:rPr>
              <w:t>- Use Convex mutations for writes and Convex queries for real-time subscriptions; use Tinybird REST API for all span analytics queries</w:t>
            </w:r>
          </w:p>
          <w:p>
            <w:pPr>
              <w:spacing w:after="40"/>
            </w:pPr>
            <w:r>
              <w:rPr>
                <w:rFonts w:ascii="Courier New" w:hAnsi="Courier New" w:eastAsia="Courier New"/>
                <w:b w:val="0"/>
                <w:i w:val="0"/>
                <w:color w:val="374151"/>
                <w:sz w:val="18"/>
              </w:rPr>
              <w:t>- Do not use Convex for span storage — it is not optimised for high-volume time-series writes</w:t>
            </w:r>
          </w:p>
          <w:p>
            <w:pPr>
              <w:spacing w:after="40"/>
            </w:pPr>
            <w:r>
              <w:rPr>
                <w:rFonts w:ascii="Courier New" w:hAnsi="Courier New" w:eastAsia="Courier New"/>
                <w:b/>
                <w:i w:val="0"/>
                <w:color w:val="4F46E5"/>
                <w:sz w:val="18"/>
              </w:rPr>
              <w:t>## Start here</w:t>
            </w:r>
          </w:p>
          <w:p>
            <w:pPr>
              <w:spacing w:after="40"/>
            </w:pPr>
            <w:r>
              <w:rPr>
                <w:rFonts w:ascii="Courier New" w:hAnsi="Courier New" w:eastAsia="Courier New"/>
                <w:b w:val="0"/>
                <w:i w:val="0"/>
                <w:color w:val="374151"/>
                <w:sz w:val="18"/>
              </w:rPr>
              <w:t>Scaffold the Next.js project with Clerk and Convex configured. Create the Convex schema file with the projects, agentRuns, and alerts tables. Then create the Tinybird datasource definition for the spans table. Show me the file structure when done.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Arial" w:hAnsi="Arial" w:eastAsia="Arial"/>
        <w:b w:val="0"/>
        <w:i w:val="0"/>
        <w:color w:val="6B7280"/>
        <w:sz w:val="18"/>
      </w:rPr>
      <w:t>5to1r — Confidential</w:t>
    </w:r>
    <w:r>
      <w:tab/>
    </w:r>
    <w:r>
      <w:rPr>
        <w:rFonts w:ascii="Arial" w:hAnsi="Arial" w:eastAsia="Arial"/>
        <w:b w:val="0"/>
        <w:i w:val="0"/>
        <w:color w:val="6B7280"/>
        <w:sz w:val="18"/>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