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261C0" w14:textId="77777777" w:rsidR="00315727" w:rsidRPr="00315727" w:rsidRDefault="00315727" w:rsidP="00315727">
      <w:pPr>
        <w:widowControl/>
        <w:autoSpaceDE/>
        <w:autoSpaceDN/>
        <w:spacing w:after="160" w:line="259" w:lineRule="auto"/>
        <w:rPr>
          <w:rFonts w:ascii="Arial" w:hAnsi="Arial" w:cs="Arial"/>
          <w:b/>
          <w:bCs/>
          <w:sz w:val="24"/>
          <w:szCs w:val="24"/>
          <w:lang w:val="en-GB"/>
        </w:rPr>
      </w:pPr>
      <w:bookmarkStart w:id="0" w:name="_Toc224908826"/>
      <w:bookmarkStart w:id="1" w:name="_Toc229057866"/>
      <w:r w:rsidRPr="00315727">
        <w:rPr>
          <w:rFonts w:ascii="Arial" w:hAnsi="Arial" w:cs="Arial"/>
          <w:b/>
          <w:bCs/>
          <w:sz w:val="24"/>
          <w:szCs w:val="24"/>
          <w:lang w:val="en-GB"/>
        </w:rPr>
        <w:t>Assessing the impact of household smoking on childhood respiratory illness</w:t>
      </w:r>
    </w:p>
    <w:p w14:paraId="60DB3117" w14:textId="35C0C929" w:rsidR="00315727" w:rsidRPr="00315727" w:rsidRDefault="00315727" w:rsidP="00315727">
      <w:pPr>
        <w:widowControl/>
        <w:autoSpaceDE/>
        <w:autoSpaceDN/>
        <w:spacing w:after="160" w:line="259" w:lineRule="auto"/>
        <w:rPr>
          <w:rFonts w:ascii="Arial" w:hAnsi="Arial" w:cs="Arial"/>
          <w:sz w:val="24"/>
          <w:szCs w:val="24"/>
          <w:lang w:val="en-GB"/>
        </w:rPr>
      </w:pPr>
      <w:r w:rsidRPr="00315727">
        <w:rPr>
          <w:rFonts w:ascii="Arial" w:hAnsi="Arial" w:cs="Arial"/>
          <w:sz w:val="24"/>
          <w:szCs w:val="24"/>
        </w:rPr>
        <w:t>This project investigates whether children living in households with adult smokers have an increased risk of acute respiratory illness</w:t>
      </w:r>
      <w:r w:rsidR="00EA3B00">
        <w:rPr>
          <w:rFonts w:ascii="Arial" w:hAnsi="Arial" w:cs="Arial"/>
          <w:sz w:val="24"/>
          <w:szCs w:val="24"/>
        </w:rPr>
        <w:t xml:space="preserve">.  It </w:t>
      </w:r>
      <w:r w:rsidRPr="00315727">
        <w:rPr>
          <w:rFonts w:ascii="Arial" w:hAnsi="Arial" w:cs="Arial"/>
          <w:sz w:val="24"/>
          <w:szCs w:val="24"/>
          <w:lang w:val="en-GB"/>
        </w:rPr>
        <w:t>us</w:t>
      </w:r>
      <w:r w:rsidR="00EA3B00">
        <w:rPr>
          <w:rFonts w:ascii="Arial" w:hAnsi="Arial" w:cs="Arial"/>
          <w:sz w:val="24"/>
          <w:szCs w:val="24"/>
          <w:lang w:val="en-GB"/>
        </w:rPr>
        <w:t>es</w:t>
      </w:r>
      <w:r w:rsidRPr="00315727">
        <w:rPr>
          <w:rFonts w:ascii="Arial" w:hAnsi="Arial" w:cs="Arial"/>
          <w:sz w:val="24"/>
          <w:szCs w:val="24"/>
          <w:lang w:val="en-GB"/>
        </w:rPr>
        <w:t xml:space="preserve"> linked health and demographic data for approximately 200,000 children aged 0–17 years in BNSSG, </w:t>
      </w:r>
      <w:r w:rsidRPr="00315727">
        <w:rPr>
          <w:rFonts w:ascii="Arial" w:hAnsi="Arial" w:cs="Arial"/>
          <w:sz w:val="24"/>
          <w:szCs w:val="24"/>
        </w:rPr>
        <w:t>connected to household-level adult data via unique property reference numbers.</w:t>
      </w:r>
      <w:r w:rsidRPr="00315727">
        <w:rPr>
          <w:rFonts w:ascii="Arial" w:hAnsi="Arial" w:cs="Arial"/>
          <w:sz w:val="24"/>
          <w:szCs w:val="24"/>
        </w:rPr>
        <w:t xml:space="preserve">   </w:t>
      </w:r>
      <w:r>
        <w:rPr>
          <w:rFonts w:ascii="Arial" w:hAnsi="Arial" w:cs="Arial"/>
          <w:sz w:val="24"/>
          <w:szCs w:val="24"/>
        </w:rPr>
        <w:t>The use of UPRN</w:t>
      </w:r>
      <w:r w:rsidRPr="00315727">
        <w:rPr>
          <w:rFonts w:ascii="Arial" w:hAnsi="Arial" w:cs="Arial"/>
          <w:sz w:val="24"/>
          <w:szCs w:val="24"/>
          <w:lang w:val="en-GB"/>
        </w:rPr>
        <w:t xml:space="preserve"> enabl</w:t>
      </w:r>
      <w:r>
        <w:rPr>
          <w:rFonts w:ascii="Arial" w:hAnsi="Arial" w:cs="Arial"/>
          <w:sz w:val="24"/>
          <w:szCs w:val="24"/>
          <w:lang w:val="en-GB"/>
        </w:rPr>
        <w:t>e</w:t>
      </w:r>
      <w:r w:rsidR="00EA3B00">
        <w:rPr>
          <w:rFonts w:ascii="Arial" w:hAnsi="Arial" w:cs="Arial"/>
          <w:sz w:val="24"/>
          <w:szCs w:val="24"/>
          <w:lang w:val="en-GB"/>
        </w:rPr>
        <w:t>s</w:t>
      </w:r>
      <w:r w:rsidRPr="00315727">
        <w:rPr>
          <w:rFonts w:ascii="Arial" w:hAnsi="Arial" w:cs="Arial"/>
          <w:sz w:val="24"/>
          <w:szCs w:val="24"/>
          <w:lang w:val="en-GB"/>
        </w:rPr>
        <w:t xml:space="preserve"> analysis of environmental and social context alongside clinical history.</w:t>
      </w:r>
    </w:p>
    <w:p w14:paraId="29A25C31" w14:textId="77777777" w:rsidR="00315727" w:rsidRDefault="00315727" w:rsidP="00315727">
      <w:pPr>
        <w:pStyle w:val="BodyText"/>
      </w:pPr>
      <w:r w:rsidRPr="001E6CDE">
        <w:t xml:space="preserve">Severe respiratory disease </w:t>
      </w:r>
      <w:r>
        <w:t>i</w:t>
      </w:r>
      <w:r w:rsidRPr="001E6CDE">
        <w:t xml:space="preserve">s a substantial burden on health services worldwide and is a leading cause of hospital admission in young children </w:t>
      </w:r>
      <w:r w:rsidRPr="001E6CDE">
        <w:fldChar w:fldCharType="begin"/>
      </w:r>
      <w:r w:rsidRPr="001E6CDE">
        <w:instrText xml:space="preserve"> ADDIN ZOTERO_ITEM CSL_CITATION {"citationID":"1thXDdHw","properties":{"formattedCitation":"(Nair {\\i{}et al.}, 2013)","plainCitation":"(Nair et al., 2013)","noteIndex":0},"citationItems":[{"id":349,"uris":["http://zotero.org/users/17320205/items/U2FSCHAF"],"itemData":{"id":349,"type":"article-journal","citation-key":"nairGlobalRegionalBurden2013","container-title":"The Lancet","DOI":"10.1016/S0140-6736(12)61901-1","ISSN":"0140-6736, 1474-547X","issue":"9875","journalAbbreviation":"The Lancet","language":"English","page":"1380-1390","PMID":"23369797","publisher":"Elsevier","source":"www.thelancet.com","title":"Global and regional burden of hospital admissions for severe acute lower respiratory infections in young children in 2010: a systematic analysis","title-short":"Global and regional burden of hospital admissions for severe acute lower respiratory infections in young children in 2010","URL":"https://www.thelancet.com/journals/lancet/article/PIIS0140-6736(12)61901-1/fulltext","volume":"381","author":[{"family":"Nair","given":"Harish"},{"family":"Simões","given":"Eric AF"},{"family":"Rudan","given":"Igor"},{"family":"Gessner","given":"Bradford D."},{"family":"Azziz-Baumgartner","given":"Eduardo"},{"family":"Zhang","given":"Jian Shayne F."},{"family":"Feikin","given":"Daniel R."},{"family":"Mackenzie","given":"Grant A."},{"family":"Moiïsi","given":"Jennifer C."},{"family":"Roca","given":"Anna"},{"family":"Baggett","given":"Henry C."},{"family":"Zaman","given":"Syed MA"},{"family":"Singleton","given":"Rosalyn J."},{"family":"Lucero","given":"Marilla G."},{"family":"Chandran","given":"Aruna"},{"family":"Gentile","given":"Angela"},{"family":"Cohen","given":"Cheryl"},{"family":"Krishnan","given":"Anand"},{"family":"Bhutta","given":"Zulfiqar A."},{"family":"Arguedas","given":"Adriano"},{"family":"Clara","given":"Alexey Wilfrido"},{"family":"Andrade","given":"Ana Lucia"},{"family":"Ope","given":"Maurice"},{"family":"Ruvinsky","given":"Raúl Oscar"},{"family":"Hortal","given":"María"},{"family":"McCracken","given":"John P."},{"family":"Madhi","given":"Shabir A."},{"family":"Bruce","given":"Nigel"},{"family":"Qazi","given":"Shamim A."},{"family":"Morris","given":"Saul S."},{"family":"Arifeen","given":"Shams El"},{"family":"Weber","given":"Martin W."},{"family":"Scott","given":"J. Anthony G."},{"family":"Brooks","given":"W. Abdullah"},{"family":"Breiman","given":"Robert F."},{"family":"Campbell","given":"Harry"}],"accessed":{"date-parts":[["2026",3,20]]},"issued":{"date-parts":[["2013",4,20]]}}}],"schema":"https://github.com/citation-style-language/schema/raw/master/csl-citation.json"} </w:instrText>
      </w:r>
      <w:r w:rsidRPr="001E6CDE">
        <w:fldChar w:fldCharType="separate"/>
      </w:r>
      <w:r w:rsidRPr="001E6CDE">
        <w:t>(Nair et al., 2013)</w:t>
      </w:r>
      <w:r w:rsidRPr="001E6CDE">
        <w:fldChar w:fldCharType="end"/>
      </w:r>
      <w:r w:rsidRPr="001E6CDE">
        <w:t xml:space="preserve">.   </w:t>
      </w:r>
      <w:r>
        <w:t>A</w:t>
      </w:r>
      <w:r w:rsidRPr="001E6CDE">
        <w:t>sthma admissions are increasing</w:t>
      </w:r>
      <w:r>
        <w:t xml:space="preserve"> (f</w:t>
      </w:r>
      <w:r w:rsidRPr="001E6CDE">
        <w:t>igure 1</w:t>
      </w:r>
      <w:r>
        <w:t xml:space="preserve">), with </w:t>
      </w:r>
      <w:r w:rsidRPr="001E6CDE">
        <w:t xml:space="preserve">Bristol rates higher than the England average </w:t>
      </w:r>
      <w:r w:rsidRPr="001E6CDE">
        <w:fldChar w:fldCharType="begin"/>
      </w:r>
      <w:r w:rsidRPr="001E6CDE">
        <w:instrText xml:space="preserve"> ADDIN ZOTERO_ITEM CSL_CITATION {"citationID":"H22ZxkPK","properties":{"formattedCitation":"(OHID, 2026)","plainCitation":"(OHID, 2026)","noteIndex":0},"citationItems":[{"id":357,"uris":["http://zotero.org/users/17320205/items/T72J7ITU"],"itemData":{"id":357,"type":"webpage","citation-key":"ohidFingertipsDepartmentHealth2026","title":"Fingertips | Department of Health and Social Care","URL":"https://fingertips.phe.org.uk/search/asthma%20admission#page/4/gid/1/pat/15/ati/502/are/E06000023/iid/90810/age/220/sex/4/cat/-1/ctp/-1/yrr/1/cid/4/tbm/1","author":[{"family":"OHID","given":""}],"accessed":{"date-parts":[["2026",3,20]]},"issued":{"date-parts":[["2026"]]}}}],"schema":"https://github.com/citation-style-language/schema/raw/master/csl-citation.json"} </w:instrText>
      </w:r>
      <w:r w:rsidRPr="001E6CDE">
        <w:fldChar w:fldCharType="separate"/>
      </w:r>
      <w:r w:rsidRPr="001E6CDE">
        <w:t>(OHID, 2026)</w:t>
      </w:r>
      <w:r w:rsidRPr="001E6CDE">
        <w:fldChar w:fldCharType="end"/>
      </w:r>
      <w:r w:rsidRPr="001E6CDE">
        <w:t>.</w:t>
      </w:r>
    </w:p>
    <w:p w14:paraId="54B78ECE" w14:textId="77777777" w:rsidR="00315727" w:rsidRPr="001E6CDE" w:rsidRDefault="00315727" w:rsidP="00315727">
      <w:pPr>
        <w:pStyle w:val="BodyText"/>
      </w:pPr>
    </w:p>
    <w:p w14:paraId="20EE47DC" w14:textId="77777777" w:rsidR="00315727" w:rsidRDefault="00315727" w:rsidP="00315727">
      <w:pPr>
        <w:pStyle w:val="BodyText"/>
        <w:keepNext/>
      </w:pPr>
      <w:r w:rsidRPr="006D2B48">
        <w:rPr>
          <w:noProof/>
          <w:lang w:val="en-GB"/>
        </w:rPr>
        <w:drawing>
          <wp:inline distT="0" distB="0" distL="0" distR="0" wp14:anchorId="70C26AAD" wp14:editId="6D835619">
            <wp:extent cx="2920791" cy="2190750"/>
            <wp:effectExtent l="0" t="0" r="0" b="0"/>
            <wp:docPr id="738558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36059" cy="2202202"/>
                    </a:xfrm>
                    <a:prstGeom prst="rect">
                      <a:avLst/>
                    </a:prstGeom>
                    <a:noFill/>
                    <a:ln>
                      <a:noFill/>
                    </a:ln>
                  </pic:spPr>
                </pic:pic>
              </a:graphicData>
            </a:graphic>
          </wp:inline>
        </w:drawing>
      </w:r>
    </w:p>
    <w:p w14:paraId="70478049" w14:textId="77777777" w:rsidR="00315727" w:rsidRPr="006D2B48" w:rsidRDefault="00315727" w:rsidP="00315727">
      <w:pPr>
        <w:pStyle w:val="Caption"/>
        <w:rPr>
          <w:rFonts w:ascii="Arial" w:hAnsi="Arial"/>
          <w:sz w:val="24"/>
          <w:szCs w:val="24"/>
          <w:lang w:val="en-GB"/>
        </w:rPr>
      </w:pPr>
      <w:r>
        <w:t xml:space="preserve">Figure </w:t>
      </w:r>
      <w:r>
        <w:fldChar w:fldCharType="begin"/>
      </w:r>
      <w:r>
        <w:instrText xml:space="preserve"> SEQ Figure \* ARABIC </w:instrText>
      </w:r>
      <w:r>
        <w:fldChar w:fldCharType="separate"/>
      </w:r>
      <w:r>
        <w:rPr>
          <w:noProof/>
        </w:rPr>
        <w:t>2</w:t>
      </w:r>
      <w:r>
        <w:fldChar w:fldCharType="end"/>
      </w:r>
      <w:r>
        <w:t>: Bristol asthma admissions upward trend (OHID, 2026)</w:t>
      </w:r>
    </w:p>
    <w:p w14:paraId="021167A9" w14:textId="77777777" w:rsidR="00315727" w:rsidRDefault="00315727" w:rsidP="00315727">
      <w:pPr>
        <w:pStyle w:val="BodyText"/>
      </w:pPr>
      <w:r w:rsidRPr="00936EE2">
        <w:t xml:space="preserve">Second-hand smoke exposure is associated with increased risk of </w:t>
      </w:r>
      <w:r>
        <w:t xml:space="preserve">asthma </w:t>
      </w:r>
      <w:r w:rsidRPr="00936EE2">
        <w:t>and acute respiratory symptoms</w:t>
      </w:r>
      <w:r>
        <w:t xml:space="preserve"> </w:t>
      </w:r>
      <w:r>
        <w:rPr>
          <w:lang w:val="en-GB"/>
        </w:rPr>
        <w:fldChar w:fldCharType="begin"/>
      </w:r>
      <w:r>
        <w:rPr>
          <w:lang w:val="en-GB"/>
        </w:rPr>
        <w:instrText xml:space="preserve"> ADDIN ZOTERO_ITEM CSL_CITATION {"citationID":"4upl5mEQ","properties":{"formattedCitation":"(ASH, 2020)","plainCitation":"(ASH, 2020)","noteIndex":0},"citationItems":[{"id":305,"uris":["http://zotero.org/users/17320205/items/II426JDG"],"itemData":{"id":305,"type":"webpage","abstract":"Breathing other people’s smoke is called passive, involuntary or secondhand smoking. Health impacts range from eye irritation, headache, cough and sore throat, to heart disease and lung cancer.","citation-key":"ashSecondhandSmoke2020","container-title":"ASH","language":"en","title":"Secondhand Smoke","URL":"https://ash.org.uk/resources/view/secondhand-smoke","author":[{"family":"ASH","given":""}],"accessed":{"date-parts":[["2026",2,9]]},"issued":{"date-parts":[["2020"]]}}}],"schema":"https://github.com/citation-style-language/schema/raw/master/csl-citation.json"} </w:instrText>
      </w:r>
      <w:r>
        <w:rPr>
          <w:lang w:val="en-GB"/>
        </w:rPr>
        <w:fldChar w:fldCharType="separate"/>
      </w:r>
      <w:r w:rsidRPr="003F5264">
        <w:rPr>
          <w:rFonts w:cs="Arial"/>
        </w:rPr>
        <w:t>(ASH, 2020)</w:t>
      </w:r>
      <w:r>
        <w:rPr>
          <w:lang w:val="en-GB"/>
        </w:rPr>
        <w:fldChar w:fldCharType="end"/>
      </w:r>
      <w:r>
        <w:rPr>
          <w:lang w:val="en-GB"/>
        </w:rPr>
        <w:t xml:space="preserve">.  </w:t>
      </w:r>
      <w:r w:rsidRPr="007D250C">
        <w:t>Previous studies have found that acute childhood respiratory exacerbations vary by age, sex, and ethnicity</w:t>
      </w:r>
      <w:r>
        <w:t xml:space="preserve"> </w:t>
      </w:r>
      <w:r>
        <w:fldChar w:fldCharType="begin"/>
      </w:r>
      <w:r>
        <w:instrText xml:space="preserve"> ADDIN ZOTERO_ITEM CSL_CITATION {"citationID":"PAkUAFWe","properties":{"formattedCitation":"(Nair {\\i{}et al.}, 2013)","plainCitation":"(Nair et al., 2013)","noteIndex":0},"citationItems":[{"id":349,"uris":["http://zotero.org/users/17320205/items/U2FSCHAF"],"itemData":{"id":349,"type":"article-journal","citation-key":"nairGlobalRegionalBurden2013","container-title":"The Lancet","DOI":"10.1016/S0140-6736(12)61901-1","ISSN":"0140-6736, 1474-547X","issue":"9875","journalAbbreviation":"The Lancet","language":"English","page":"1380-1390","PMID":"23369797","publisher":"Elsevier","source":"www.thelancet.com","title":"Global and regional burden of hospital admissions for severe acute lower respiratory infections in young children in 2010: a systematic analysis","title-short":"Global and regional burden of hospital admissions for severe acute lower respiratory infections in young children in 2010","URL":"https://www.thelancet.com/journals/lancet/article/PIIS0140-6736(12)61901-1/fulltext","volume":"381","author":[{"family":"Nair","given":"Harish"},{"family":"Simões","given":"Eric AF"},{"family":"Rudan","given":"Igor"},{"family":"Gessner","given":"Bradford D."},{"family":"Azziz-Baumgartner","given":"Eduardo"},{"family":"Zhang","given":"Jian Shayne F."},{"family":"Feikin","given":"Daniel R."},{"family":"Mackenzie","given":"Grant A."},{"family":"Moiïsi","given":"Jennifer C."},{"family":"Roca","given":"Anna"},{"family":"Baggett","given":"Henry C."},{"family":"Zaman","given":"Syed MA"},{"family":"Singleton","given":"Rosalyn J."},{"family":"Lucero","given":"Marilla G."},{"family":"Chandran","given":"Aruna"},{"family":"Gentile","given":"Angela"},{"family":"Cohen","given":"Cheryl"},{"family":"Krishnan","given":"Anand"},{"family":"Bhutta","given":"Zulfiqar A."},{"family":"Arguedas","given":"Adriano"},{"family":"Clara","given":"Alexey Wilfrido"},{"family":"Andrade","given":"Ana Lucia"},{"family":"Ope","given":"Maurice"},{"family":"Ruvinsky","given":"Raúl Oscar"},{"family":"Hortal","given":"María"},{"family":"McCracken","given":"John P."},{"family":"Madhi","given":"Shabir A."},{"family":"Bruce","given":"Nigel"},{"family":"Qazi","given":"Shamim A."},{"family":"Morris","given":"Saul S."},{"family":"Arifeen","given":"Shams El"},{"family":"Weber","given":"Martin W."},{"family":"Scott","given":"J. Anthony G."},{"family":"Brooks","given":"W. Abdullah"},{"family":"Breiman","given":"Robert F."},{"family":"Campbell","given":"Harry"}],"accessed":{"date-parts":[["2026",3,20]]},"issued":{"date-parts":[["2013",4,20]]}}}],"schema":"https://github.com/citation-style-language/schema/raw/master/csl-citation.json"} </w:instrText>
      </w:r>
      <w:r>
        <w:fldChar w:fldCharType="separate"/>
      </w:r>
      <w:r w:rsidRPr="007637F8">
        <w:rPr>
          <w:rFonts w:cs="Arial"/>
        </w:rPr>
        <w:t xml:space="preserve">(Nair </w:t>
      </w:r>
      <w:r w:rsidRPr="007637F8">
        <w:rPr>
          <w:rFonts w:cs="Arial"/>
          <w:i/>
          <w:iCs/>
        </w:rPr>
        <w:t>et al.</w:t>
      </w:r>
      <w:r w:rsidRPr="007637F8">
        <w:rPr>
          <w:rFonts w:cs="Arial"/>
        </w:rPr>
        <w:t>, 2013)</w:t>
      </w:r>
      <w:r>
        <w:fldChar w:fldCharType="end"/>
      </w:r>
      <w:r>
        <w:t xml:space="preserve">, with a deprivation impact linked to cold homes with poor ventilation and fuel poverty </w:t>
      </w:r>
      <w:r>
        <w:fldChar w:fldCharType="begin"/>
      </w:r>
      <w:r>
        <w:instrText xml:space="preserve"> ADDIN ZOTERO_ITEM CSL_CITATION {"citationID":"RGMZ6GAj","properties":{"formattedCitation":"(Barrett {\\i{}et al.}, 2022)","plainCitation":"(Barrett et al., 2022)","noteIndex":0},"citationItems":[{"id":352,"uris":["http://zotero.org/users/17320205/items/5A4MC78F"],"itemData":{"id":352,"type":"article-journal","citation-key":"barrettEatHeatFuel2022","container-title":"The Lancet Respiratory Medicine","DOI":"10.1016/S2213-2600(21)00584-1","ISSN":"2213-2600, 2213-2619","issue":"3","journalAbbreviation":"The Lancet Respiratory Medicine","language":"English","page":"229","PMID":"34953530","publisher":"Elsevier","source":"www.thelancet.com","title":"Eat or heat: fuel poverty and childhood respiratory health","title-short":"Eat or heat","URL":"https://www.thelancet.com/journals/lanres/article/PIIS2213-2600(21)00584-1/fulltext","volume":"10","author":[{"family":"Barrett","given":"Cassandra"},{"family":"Lee","given":"Alice R."},{"family":"Abrams","given":"Elissa M."},{"family":"Mayell","given":"Sarah J."},{"family":"Hawcutt","given":"Daniel B."},{"family":"Sinha","given":"Ian P."}],"accessed":{"date-parts":[["2026",3,20]]},"issued":{"date-parts":[["2022",3,1]]}}}],"schema":"https://github.com/citation-style-language/schema/raw/master/csl-citation.json"} </w:instrText>
      </w:r>
      <w:r>
        <w:fldChar w:fldCharType="separate"/>
      </w:r>
      <w:r w:rsidRPr="000D31BC">
        <w:rPr>
          <w:rFonts w:cs="Arial"/>
        </w:rPr>
        <w:t xml:space="preserve">(Barrett </w:t>
      </w:r>
      <w:r w:rsidRPr="000D31BC">
        <w:rPr>
          <w:rFonts w:cs="Arial"/>
          <w:i/>
          <w:iCs/>
        </w:rPr>
        <w:t>et al.</w:t>
      </w:r>
      <w:r w:rsidRPr="000D31BC">
        <w:rPr>
          <w:rFonts w:cs="Arial"/>
        </w:rPr>
        <w:t>, 2022)</w:t>
      </w:r>
      <w:r>
        <w:fldChar w:fldCharType="end"/>
      </w:r>
      <w:r>
        <w:t xml:space="preserve">.  Social vulnerabilities, such as being an asylum seeker or living in unstable housing, also contribute to physical health deterioration </w:t>
      </w:r>
      <w:r>
        <w:fldChar w:fldCharType="begin"/>
      </w:r>
      <w:r>
        <w:instrText xml:space="preserve"> ADDIN ZOTERO_ITEM CSL_CITATION {"citationID":"4GnmisiP","properties":{"formattedCitation":"(Healthier Together, 2025)","plainCitation":"(Healthier Together, 2025)","noteIndex":0},"citationItems":[{"id":265,"uris":["http://zotero.org/users/17320205/items/WNIQDAIU"],"itemData":{"id":265,"type":"webpage","citation-key":"healthiertogetherNeedsAssessmentRefugees2025","title":"Needs Assessment Refugees and Asylum Seekers in BNSSG","URL":"https://www.bristol.gov.uk/files/documents/8675-jsna-needs-assessment-refugees-and-asylum-seekers-in-bnssg/file","author":[{"family":"Healthier Together","given":""}],"accessed":{"date-parts":[["2026",2,4]]},"issued":{"date-parts":[["2025"]]}}}],"schema":"https://github.com/citation-style-language/schema/raw/master/csl-citation.json"} </w:instrText>
      </w:r>
      <w:r>
        <w:fldChar w:fldCharType="separate"/>
      </w:r>
      <w:r w:rsidRPr="00C85B1A">
        <w:rPr>
          <w:rFonts w:cs="Arial"/>
        </w:rPr>
        <w:t>(Healthier Together, 2025)</w:t>
      </w:r>
      <w:r>
        <w:fldChar w:fldCharType="end"/>
      </w:r>
      <w:r>
        <w:t>.</w:t>
      </w:r>
    </w:p>
    <w:p w14:paraId="557DC997" w14:textId="77777777" w:rsidR="00315727" w:rsidRDefault="00315727" w:rsidP="00315727">
      <w:pPr>
        <w:pStyle w:val="BodyText"/>
      </w:pPr>
    </w:p>
    <w:p w14:paraId="64DE129A" w14:textId="77777777" w:rsidR="00315727" w:rsidRPr="00315727" w:rsidRDefault="00315727" w:rsidP="00315727">
      <w:pPr>
        <w:widowControl/>
        <w:autoSpaceDE/>
        <w:autoSpaceDN/>
        <w:spacing w:after="160" w:line="259" w:lineRule="auto"/>
        <w:rPr>
          <w:rFonts w:ascii="Arial" w:hAnsi="Arial" w:cs="Arial"/>
          <w:sz w:val="24"/>
          <w:szCs w:val="24"/>
          <w:lang w:val="en-GB"/>
        </w:rPr>
      </w:pPr>
      <w:r w:rsidRPr="00315727">
        <w:rPr>
          <w:rFonts w:ascii="Arial" w:hAnsi="Arial" w:cs="Arial"/>
          <w:sz w:val="24"/>
          <w:szCs w:val="24"/>
          <w:lang w:val="en-GB"/>
        </w:rPr>
        <w:t>A reproducible end-to-end analytical pipeline was implemented within a secure SQL Server environment. Data from multiple sources were extracted, linked via pseudonymised identifiers, and transformed into a denormalised analytical dataset. Event-level hospital data were aggregated to person-level, with engineered features capturing demographic, clinical, housing and social vulnerability characteristics.</w:t>
      </w:r>
    </w:p>
    <w:p w14:paraId="62D4FF5E" w14:textId="77777777" w:rsidR="00315727" w:rsidRDefault="00315727" w:rsidP="00315727">
      <w:pPr>
        <w:widowControl/>
        <w:autoSpaceDE/>
        <w:autoSpaceDN/>
        <w:spacing w:after="160" w:line="259" w:lineRule="auto"/>
        <w:rPr>
          <w:lang w:val="en-GB"/>
        </w:rPr>
        <w:sectPr w:rsidR="00315727" w:rsidSect="00943EF5">
          <w:headerReference w:type="default" r:id="rId7"/>
          <w:pgSz w:w="11910" w:h="16840"/>
          <w:pgMar w:top="1300" w:right="1320" w:bottom="280" w:left="1340" w:header="708" w:footer="0" w:gutter="0"/>
          <w:cols w:space="720"/>
        </w:sectPr>
      </w:pPr>
    </w:p>
    <w:p w14:paraId="016034C4" w14:textId="77777777" w:rsidR="00315727" w:rsidRDefault="00315727" w:rsidP="00315727">
      <w:pPr>
        <w:widowControl/>
        <w:autoSpaceDE/>
        <w:autoSpaceDN/>
        <w:spacing w:after="160" w:line="259" w:lineRule="auto"/>
        <w:rPr>
          <w:lang w:val="en-GB"/>
        </w:rPr>
      </w:pPr>
    </w:p>
    <w:p w14:paraId="12E2B846" w14:textId="77777777" w:rsidR="00315727" w:rsidRDefault="00315727" w:rsidP="00315727">
      <w:pPr>
        <w:widowControl/>
        <w:autoSpaceDE/>
        <w:autoSpaceDN/>
        <w:spacing w:after="160" w:line="259" w:lineRule="auto"/>
        <w:rPr>
          <w:lang w:val="en-GB"/>
        </w:rPr>
      </w:pPr>
    </w:p>
    <w:p w14:paraId="5C206D23" w14:textId="77777777" w:rsidR="00315727" w:rsidRDefault="00315727" w:rsidP="00315727">
      <w:pPr>
        <w:widowControl/>
        <w:autoSpaceDE/>
        <w:autoSpaceDN/>
        <w:spacing w:after="160" w:line="259" w:lineRule="auto"/>
        <w:rPr>
          <w:lang w:val="en-GB"/>
        </w:rPr>
      </w:pPr>
    </w:p>
    <w:p w14:paraId="7CE01255" w14:textId="7150F523" w:rsidR="00315727" w:rsidRPr="003304EC" w:rsidRDefault="00315727" w:rsidP="00315727">
      <w:pPr>
        <w:pStyle w:val="BodyText"/>
      </w:pPr>
      <w:r w:rsidRPr="003304EC">
        <w:t>ETL pipelin</w:t>
      </w:r>
      <w:r>
        <w:t>e</w:t>
      </w:r>
      <w:r>
        <w:t>:</w:t>
      </w:r>
    </w:p>
    <w:p w14:paraId="3B2C3121" w14:textId="77777777" w:rsidR="00315727" w:rsidRDefault="00315727" w:rsidP="00315727">
      <w:pPr>
        <w:pStyle w:val="BodyText"/>
      </w:pPr>
    </w:p>
    <w:p w14:paraId="29658858" w14:textId="77777777" w:rsidR="00315727" w:rsidRDefault="00315727" w:rsidP="00315727">
      <w:pPr>
        <w:pStyle w:val="BodyText"/>
      </w:pPr>
      <w:r w:rsidRPr="004B68F5">
        <w:rPr>
          <w:noProof/>
        </w:rPr>
        <w:drawing>
          <wp:inline distT="0" distB="0" distL="0" distR="0" wp14:anchorId="48DCA1DA" wp14:editId="533A131E">
            <wp:extent cx="10354310" cy="3876675"/>
            <wp:effectExtent l="0" t="0" r="8890" b="9525"/>
            <wp:docPr id="129171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14806" name=""/>
                    <pic:cNvPicPr/>
                  </pic:nvPicPr>
                  <pic:blipFill rotWithShape="1">
                    <a:blip r:embed="rId8"/>
                    <a:srcRect b="4235"/>
                    <a:stretch>
                      <a:fillRect/>
                    </a:stretch>
                  </pic:blipFill>
                  <pic:spPr bwMode="auto">
                    <a:xfrm>
                      <a:off x="0" y="0"/>
                      <a:ext cx="10358353" cy="3878189"/>
                    </a:xfrm>
                    <a:prstGeom prst="rect">
                      <a:avLst/>
                    </a:prstGeom>
                    <a:ln>
                      <a:noFill/>
                    </a:ln>
                    <a:extLst>
                      <a:ext uri="{53640926-AAD7-44D8-BBD7-CCE9431645EC}">
                        <a14:shadowObscured xmlns:a14="http://schemas.microsoft.com/office/drawing/2010/main"/>
                      </a:ext>
                    </a:extLst>
                  </pic:spPr>
                </pic:pic>
              </a:graphicData>
            </a:graphic>
          </wp:inline>
        </w:drawing>
      </w:r>
    </w:p>
    <w:p w14:paraId="372C6B24" w14:textId="77777777" w:rsidR="00315727" w:rsidRDefault="00315727" w:rsidP="00315727">
      <w:pPr>
        <w:pStyle w:val="BodyText"/>
      </w:pPr>
    </w:p>
    <w:p w14:paraId="3E170F62" w14:textId="77777777" w:rsidR="00315727" w:rsidRDefault="00315727" w:rsidP="00315727">
      <w:pPr>
        <w:pStyle w:val="BodyText"/>
      </w:pPr>
    </w:p>
    <w:p w14:paraId="15B5EB23" w14:textId="77777777" w:rsidR="00315727" w:rsidRDefault="00315727" w:rsidP="00315727">
      <w:pPr>
        <w:pStyle w:val="BodyText"/>
      </w:pPr>
    </w:p>
    <w:p w14:paraId="7F0A4A98" w14:textId="77777777" w:rsidR="00315727" w:rsidRDefault="00315727" w:rsidP="00315727"/>
    <w:p w14:paraId="5DB0FBB8" w14:textId="77777777" w:rsidR="00315727" w:rsidRDefault="00315727" w:rsidP="00315727">
      <w:pPr>
        <w:widowControl/>
        <w:autoSpaceDE/>
        <w:autoSpaceDN/>
        <w:spacing w:after="160" w:line="259" w:lineRule="auto"/>
        <w:rPr>
          <w:lang w:val="en-GB"/>
        </w:rPr>
        <w:sectPr w:rsidR="00315727" w:rsidSect="00315727">
          <w:pgSz w:w="16840" w:h="11910" w:orient="landscape"/>
          <w:pgMar w:top="1340" w:right="1300" w:bottom="1320" w:left="280" w:header="708" w:footer="0" w:gutter="0"/>
          <w:cols w:space="720"/>
          <w:docGrid w:linePitch="299"/>
        </w:sectPr>
      </w:pPr>
    </w:p>
    <w:p w14:paraId="5D9CE905" w14:textId="77777777" w:rsidR="00315727" w:rsidRPr="00315727" w:rsidRDefault="00315727" w:rsidP="00315727">
      <w:pPr>
        <w:widowControl/>
        <w:autoSpaceDE/>
        <w:autoSpaceDN/>
        <w:spacing w:after="160" w:line="259" w:lineRule="auto"/>
        <w:rPr>
          <w:rFonts w:ascii="Arial" w:hAnsi="Arial" w:cs="Arial"/>
          <w:sz w:val="24"/>
          <w:szCs w:val="24"/>
          <w:lang w:val="en-GB"/>
        </w:rPr>
      </w:pPr>
      <w:r w:rsidRPr="00315727">
        <w:rPr>
          <w:rFonts w:ascii="Arial" w:hAnsi="Arial" w:cs="Arial"/>
          <w:sz w:val="24"/>
          <w:szCs w:val="24"/>
          <w:lang w:val="en-GB"/>
        </w:rPr>
        <w:lastRenderedPageBreak/>
        <w:t>Feature engineering included creation of composite indicators (e.g. social vulnerability), binary encoding of categorical variables, and validation of data quality, completeness and multicollinearity. The resulting dataset supported robust modelling while maintaining interpretability and reproducibility.</w:t>
      </w:r>
    </w:p>
    <w:p w14:paraId="67A454FB" w14:textId="3FF201A3" w:rsidR="00315727" w:rsidRDefault="00315727" w:rsidP="00315727">
      <w:pPr>
        <w:widowControl/>
        <w:autoSpaceDE/>
        <w:autoSpaceDN/>
        <w:spacing w:after="160" w:line="259" w:lineRule="auto"/>
        <w:rPr>
          <w:rFonts w:ascii="Arial" w:hAnsi="Arial" w:cs="Arial"/>
          <w:sz w:val="24"/>
          <w:szCs w:val="24"/>
          <w:lang w:val="en-GB"/>
        </w:rPr>
      </w:pPr>
      <w:r w:rsidRPr="00315727">
        <w:rPr>
          <w:rFonts w:ascii="Arial" w:hAnsi="Arial" w:cs="Arial"/>
          <w:sz w:val="24"/>
          <w:szCs w:val="24"/>
          <w:lang w:val="en-GB"/>
        </w:rPr>
        <w:t xml:space="preserve">A logistic regression model was developed to predict risk of unplanned respiratory activity. Model performance demonstrated good discrimination (AUC ≈ 0.80), with strong sensitivity to threshold selection. </w:t>
      </w:r>
      <w:r w:rsidR="00EA3B00">
        <w:rPr>
          <w:rFonts w:ascii="Arial" w:hAnsi="Arial" w:cs="Arial"/>
          <w:sz w:val="24"/>
          <w:szCs w:val="24"/>
          <w:lang w:val="en-GB"/>
        </w:rPr>
        <w:t xml:space="preserve"> </w:t>
      </w:r>
      <w:r w:rsidRPr="00315727">
        <w:rPr>
          <w:rFonts w:ascii="Arial" w:hAnsi="Arial" w:cs="Arial"/>
          <w:sz w:val="24"/>
          <w:szCs w:val="24"/>
          <w:lang w:val="en-GB"/>
        </w:rPr>
        <w:t>Techniques to address class imbalance significantly improved detection of respiratory events but increased false positives, highlighting trade-offs between recall and precision in operational use.</w:t>
      </w:r>
    </w:p>
    <w:p w14:paraId="458157ED" w14:textId="5287212F" w:rsidR="00614F57" w:rsidRDefault="00614F57" w:rsidP="00315727">
      <w:pPr>
        <w:widowControl/>
        <w:autoSpaceDE/>
        <w:autoSpaceDN/>
        <w:spacing w:after="160" w:line="259" w:lineRule="auto"/>
        <w:rPr>
          <w:rFonts w:ascii="Arial" w:hAnsi="Arial" w:cs="Arial"/>
          <w:sz w:val="24"/>
          <w:szCs w:val="24"/>
          <w:lang w:val="en-GB"/>
        </w:rPr>
      </w:pPr>
      <w:r w:rsidRPr="00530613">
        <w:rPr>
          <w:noProof/>
        </w:rPr>
        <w:drawing>
          <wp:inline distT="0" distB="0" distL="0" distR="0" wp14:anchorId="2510F313" wp14:editId="27B9D85E">
            <wp:extent cx="5873750" cy="2543175"/>
            <wp:effectExtent l="0" t="0" r="0" b="9525"/>
            <wp:docPr id="161183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30394" name=""/>
                    <pic:cNvPicPr/>
                  </pic:nvPicPr>
                  <pic:blipFill rotWithShape="1">
                    <a:blip r:embed="rId9"/>
                    <a:srcRect b="7484"/>
                    <a:stretch>
                      <a:fillRect/>
                    </a:stretch>
                  </pic:blipFill>
                  <pic:spPr bwMode="auto">
                    <a:xfrm>
                      <a:off x="0" y="0"/>
                      <a:ext cx="5873750" cy="2543175"/>
                    </a:xfrm>
                    <a:prstGeom prst="rect">
                      <a:avLst/>
                    </a:prstGeom>
                    <a:ln>
                      <a:noFill/>
                    </a:ln>
                    <a:extLst>
                      <a:ext uri="{53640926-AAD7-44D8-BBD7-CCE9431645EC}">
                        <a14:shadowObscured xmlns:a14="http://schemas.microsoft.com/office/drawing/2010/main"/>
                      </a:ext>
                    </a:extLst>
                  </pic:spPr>
                </pic:pic>
              </a:graphicData>
            </a:graphic>
          </wp:inline>
        </w:drawing>
      </w:r>
    </w:p>
    <w:p w14:paraId="2241E1E5" w14:textId="77777777" w:rsidR="00614F57" w:rsidRDefault="00614F57" w:rsidP="00315727">
      <w:pPr>
        <w:widowControl/>
        <w:autoSpaceDE/>
        <w:autoSpaceDN/>
        <w:spacing w:after="160" w:line="259" w:lineRule="auto"/>
        <w:rPr>
          <w:rFonts w:ascii="Arial" w:hAnsi="Arial" w:cs="Arial"/>
          <w:sz w:val="24"/>
          <w:szCs w:val="24"/>
          <w:lang w:val="en-GB"/>
        </w:rPr>
      </w:pPr>
    </w:p>
    <w:p w14:paraId="265D1E2A" w14:textId="77777777" w:rsidR="00315727" w:rsidRDefault="00315727" w:rsidP="00315727">
      <w:pPr>
        <w:widowControl/>
        <w:autoSpaceDE/>
        <w:autoSpaceDN/>
        <w:spacing w:after="160" w:line="259" w:lineRule="auto"/>
        <w:rPr>
          <w:rFonts w:ascii="Arial" w:hAnsi="Arial" w:cs="Arial"/>
          <w:sz w:val="24"/>
          <w:szCs w:val="24"/>
          <w:lang w:val="en-GB"/>
        </w:rPr>
      </w:pPr>
      <w:r w:rsidRPr="00614F57">
        <w:rPr>
          <w:rFonts w:ascii="Arial" w:hAnsi="Arial" w:cs="Arial"/>
          <w:sz w:val="24"/>
          <w:szCs w:val="24"/>
          <w:lang w:val="en-GB"/>
        </w:rPr>
        <w:t>Predictor analysis showed that prior asthma diagnosis was the strongest driver of risk, alongside younger age, deprivation, social vulnerability, and demographic factors. After adjustment for these variables, household smoking was not independently associated with increased risk, indicating that broader socioeconomic and clinical factors play a dominant role within this dataset.</w:t>
      </w:r>
    </w:p>
    <w:p w14:paraId="2E0D1FB3" w14:textId="12745DD8" w:rsidR="00A64FEC" w:rsidRDefault="00A64FEC" w:rsidP="00315727">
      <w:pPr>
        <w:widowControl/>
        <w:autoSpaceDE/>
        <w:autoSpaceDN/>
        <w:spacing w:after="160" w:line="259" w:lineRule="auto"/>
        <w:rPr>
          <w:rFonts w:ascii="Arial" w:hAnsi="Arial" w:cs="Arial"/>
          <w:sz w:val="24"/>
          <w:szCs w:val="24"/>
          <w:lang w:val="en-GB"/>
        </w:rPr>
      </w:pPr>
      <w:r w:rsidRPr="00530613">
        <w:rPr>
          <w:noProof/>
        </w:rPr>
        <w:lastRenderedPageBreak/>
        <w:drawing>
          <wp:inline distT="0" distB="0" distL="0" distR="0" wp14:anchorId="1540D81A" wp14:editId="73AF0C7F">
            <wp:extent cx="6312959" cy="3590925"/>
            <wp:effectExtent l="0" t="0" r="0" b="0"/>
            <wp:docPr id="102651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18929" name=""/>
                    <pic:cNvPicPr/>
                  </pic:nvPicPr>
                  <pic:blipFill rotWithShape="1">
                    <a:blip r:embed="rId10"/>
                    <a:srcRect b="5197"/>
                    <a:stretch>
                      <a:fillRect/>
                    </a:stretch>
                  </pic:blipFill>
                  <pic:spPr bwMode="auto">
                    <a:xfrm>
                      <a:off x="0" y="0"/>
                      <a:ext cx="6324017" cy="3597215"/>
                    </a:xfrm>
                    <a:prstGeom prst="rect">
                      <a:avLst/>
                    </a:prstGeom>
                    <a:ln>
                      <a:noFill/>
                    </a:ln>
                    <a:extLst>
                      <a:ext uri="{53640926-AAD7-44D8-BBD7-CCE9431645EC}">
                        <a14:shadowObscured xmlns:a14="http://schemas.microsoft.com/office/drawing/2010/main"/>
                      </a:ext>
                    </a:extLst>
                  </pic:spPr>
                </pic:pic>
              </a:graphicData>
            </a:graphic>
          </wp:inline>
        </w:drawing>
      </w:r>
    </w:p>
    <w:p w14:paraId="51EBD060" w14:textId="77777777" w:rsidR="00A64FEC" w:rsidRPr="00614F57" w:rsidRDefault="00A64FEC" w:rsidP="00315727">
      <w:pPr>
        <w:widowControl/>
        <w:autoSpaceDE/>
        <w:autoSpaceDN/>
        <w:spacing w:after="160" w:line="259" w:lineRule="auto"/>
        <w:rPr>
          <w:rFonts w:ascii="Arial" w:hAnsi="Arial" w:cs="Arial"/>
          <w:sz w:val="24"/>
          <w:szCs w:val="24"/>
          <w:lang w:val="en-GB"/>
        </w:rPr>
      </w:pPr>
    </w:p>
    <w:p w14:paraId="5D5B0A32" w14:textId="1D2BB28C" w:rsidR="00315727" w:rsidRDefault="00315727" w:rsidP="00315727">
      <w:pPr>
        <w:widowControl/>
        <w:autoSpaceDE/>
        <w:autoSpaceDN/>
        <w:spacing w:after="160" w:line="259" w:lineRule="auto"/>
        <w:rPr>
          <w:rFonts w:ascii="Arial" w:hAnsi="Arial" w:cs="Arial"/>
          <w:sz w:val="24"/>
          <w:szCs w:val="24"/>
          <w:lang w:val="en-GB"/>
        </w:rPr>
      </w:pPr>
      <w:r w:rsidRPr="00614F57">
        <w:rPr>
          <w:rFonts w:ascii="Arial" w:hAnsi="Arial" w:cs="Arial"/>
          <w:sz w:val="24"/>
          <w:szCs w:val="24"/>
          <w:lang w:val="en-GB"/>
        </w:rPr>
        <w:t xml:space="preserve">Scenario modelling demonstrated that the value of predictive analytics depends on how models are deployed. </w:t>
      </w:r>
      <w:r w:rsidR="00EA3B00">
        <w:rPr>
          <w:rFonts w:ascii="Arial" w:hAnsi="Arial" w:cs="Arial"/>
          <w:sz w:val="24"/>
          <w:szCs w:val="24"/>
          <w:lang w:val="en-GB"/>
        </w:rPr>
        <w:t xml:space="preserve"> </w:t>
      </w:r>
      <w:r w:rsidRPr="00614F57">
        <w:rPr>
          <w:rFonts w:ascii="Arial" w:hAnsi="Arial" w:cs="Arial"/>
          <w:sz w:val="24"/>
          <w:szCs w:val="24"/>
          <w:lang w:val="en-GB"/>
        </w:rPr>
        <w:t xml:space="preserve">Lower classification thresholds maximise case detection but generate high volumes of false positives, leading to inefficient targeting. </w:t>
      </w:r>
      <w:r w:rsidR="00EA3B00">
        <w:rPr>
          <w:rFonts w:ascii="Arial" w:hAnsi="Arial" w:cs="Arial"/>
          <w:sz w:val="24"/>
          <w:szCs w:val="24"/>
          <w:lang w:val="en-GB"/>
        </w:rPr>
        <w:t xml:space="preserve"> </w:t>
      </w:r>
      <w:r w:rsidRPr="00614F57">
        <w:rPr>
          <w:rFonts w:ascii="Arial" w:hAnsi="Arial" w:cs="Arial"/>
          <w:sz w:val="24"/>
          <w:szCs w:val="24"/>
          <w:lang w:val="en-GB"/>
        </w:rPr>
        <w:t>Higher thresholds provide a more balanced approach, enabling clinically meaningful impact without incurring additional system cost.</w:t>
      </w:r>
    </w:p>
    <w:p w14:paraId="7DF209F3" w14:textId="31BBDAAA" w:rsidR="00E942C5" w:rsidRDefault="00E942C5" w:rsidP="00315727">
      <w:pPr>
        <w:widowControl/>
        <w:autoSpaceDE/>
        <w:autoSpaceDN/>
        <w:spacing w:after="160" w:line="259" w:lineRule="auto"/>
        <w:rPr>
          <w:rFonts w:ascii="Arial" w:hAnsi="Arial" w:cs="Arial"/>
          <w:sz w:val="24"/>
          <w:szCs w:val="24"/>
          <w:lang w:val="en-GB"/>
        </w:rPr>
      </w:pPr>
      <w:r w:rsidRPr="00527B35">
        <w:rPr>
          <w:noProof/>
        </w:rPr>
        <w:drawing>
          <wp:inline distT="0" distB="0" distL="0" distR="0" wp14:anchorId="0EC06C0D" wp14:editId="0B23436B">
            <wp:extent cx="6524623" cy="907696"/>
            <wp:effectExtent l="0" t="0" r="0" b="6985"/>
            <wp:docPr id="1941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359" name=""/>
                    <pic:cNvPicPr/>
                  </pic:nvPicPr>
                  <pic:blipFill rotWithShape="1">
                    <a:blip r:embed="rId11"/>
                    <a:srcRect b="16529"/>
                    <a:stretch>
                      <a:fillRect/>
                    </a:stretch>
                  </pic:blipFill>
                  <pic:spPr bwMode="auto">
                    <a:xfrm>
                      <a:off x="0" y="0"/>
                      <a:ext cx="6547927" cy="910938"/>
                    </a:xfrm>
                    <a:prstGeom prst="rect">
                      <a:avLst/>
                    </a:prstGeom>
                    <a:ln>
                      <a:noFill/>
                    </a:ln>
                    <a:extLst>
                      <a:ext uri="{53640926-AAD7-44D8-BBD7-CCE9431645EC}">
                        <a14:shadowObscured xmlns:a14="http://schemas.microsoft.com/office/drawing/2010/main"/>
                      </a:ext>
                    </a:extLst>
                  </pic:spPr>
                </pic:pic>
              </a:graphicData>
            </a:graphic>
          </wp:inline>
        </w:drawing>
      </w:r>
    </w:p>
    <w:p w14:paraId="08A3114F" w14:textId="77777777" w:rsidR="00315727" w:rsidRPr="00614F57" w:rsidRDefault="00315727" w:rsidP="00315727">
      <w:pPr>
        <w:widowControl/>
        <w:autoSpaceDE/>
        <w:autoSpaceDN/>
        <w:spacing w:after="160" w:line="259" w:lineRule="auto"/>
        <w:rPr>
          <w:rFonts w:ascii="Arial" w:hAnsi="Arial" w:cs="Arial"/>
          <w:sz w:val="24"/>
          <w:szCs w:val="24"/>
          <w:lang w:val="en-GB"/>
        </w:rPr>
      </w:pPr>
      <w:r w:rsidRPr="00614F57">
        <w:rPr>
          <w:rFonts w:ascii="Arial" w:hAnsi="Arial" w:cs="Arial"/>
          <w:sz w:val="24"/>
          <w:szCs w:val="24"/>
          <w:lang w:val="en-GB"/>
        </w:rPr>
        <w:t>The analysis estimates that targeted interventions for children at highest risk could reduce respiratory admissions and attendances, with potential system savings of approximately £83k per annum, subject to intervention effectiveness.</w:t>
      </w:r>
    </w:p>
    <w:bookmarkEnd w:id="0"/>
    <w:bookmarkEnd w:id="1"/>
    <w:p w14:paraId="5EB919E2" w14:textId="77777777" w:rsidR="00943EF5" w:rsidRPr="006C3614" w:rsidRDefault="00943EF5" w:rsidP="00943EF5">
      <w:pPr>
        <w:pStyle w:val="BodyText"/>
        <w:rPr>
          <w:lang w:val="en-GB"/>
        </w:rPr>
      </w:pPr>
      <w:r w:rsidRPr="0083651D">
        <w:t>Model outputs may reflect underlying data biases and risk reinforcing existing health inequalities if used without appropriate contextual interpretation</w:t>
      </w:r>
      <w:r w:rsidRPr="006C3614">
        <w:rPr>
          <w:lang w:val="en-GB"/>
        </w:rPr>
        <w:t xml:space="preserve">.  Adult smoking correlates with deprivation, potentially confounding observed effects.  Both smoking status and ethnicity data may be inconsistently recorded, introducing misclassification bias.  Mitigation </w:t>
      </w:r>
      <w:r>
        <w:rPr>
          <w:lang w:val="en-GB"/>
        </w:rPr>
        <w:t xml:space="preserve">includes </w:t>
      </w:r>
      <w:r w:rsidRPr="006C3614">
        <w:rPr>
          <w:lang w:val="en-GB"/>
        </w:rPr>
        <w:t>cautious interpretation.</w:t>
      </w:r>
    </w:p>
    <w:p w14:paraId="7E22E823" w14:textId="77777777" w:rsidR="00943EF5" w:rsidRPr="006C3614" w:rsidRDefault="00943EF5" w:rsidP="00943EF5">
      <w:pPr>
        <w:pStyle w:val="BodyText"/>
        <w:rPr>
          <w:lang w:val="en-GB"/>
        </w:rPr>
      </w:pPr>
    </w:p>
    <w:p w14:paraId="60D31DC8" w14:textId="77777777" w:rsidR="00943EF5" w:rsidRPr="00E06445" w:rsidRDefault="00943EF5" w:rsidP="00943EF5">
      <w:pPr>
        <w:pStyle w:val="BodyText"/>
        <w:rPr>
          <w:lang w:val="en-GB"/>
        </w:rPr>
      </w:pPr>
      <w:r w:rsidRPr="006C3614">
        <w:rPr>
          <w:lang w:val="en-GB"/>
        </w:rPr>
        <w:t>Model associations do not imply causation.</w:t>
      </w:r>
      <w:r>
        <w:rPr>
          <w:lang w:val="en-GB"/>
        </w:rPr>
        <w:t xml:space="preserve"> </w:t>
      </w:r>
      <w:r w:rsidRPr="006C3614">
        <w:rPr>
          <w:lang w:val="en-GB"/>
        </w:rPr>
        <w:t xml:space="preserve"> While predictors highlight risk factors, interventions should not assume causal relationships. </w:t>
      </w:r>
      <w:r>
        <w:rPr>
          <w:lang w:val="en-GB"/>
        </w:rPr>
        <w:t xml:space="preserve"> </w:t>
      </w:r>
      <w:r w:rsidRPr="006C3614">
        <w:rPr>
          <w:lang w:val="en-GB"/>
        </w:rPr>
        <w:t xml:space="preserve">High sensitivity increases false positives; </w:t>
      </w:r>
      <w:r>
        <w:rPr>
          <w:lang w:val="en-GB"/>
        </w:rPr>
        <w:t xml:space="preserve">and </w:t>
      </w:r>
      <w:r w:rsidRPr="006C3614">
        <w:rPr>
          <w:lang w:val="en-GB"/>
        </w:rPr>
        <w:t>clinical judgment is needed to avoid unnecessary interventions.</w:t>
      </w:r>
    </w:p>
    <w:p w14:paraId="1E2A634A" w14:textId="77777777" w:rsidR="00943EF5" w:rsidRPr="0015367A" w:rsidRDefault="00943EF5" w:rsidP="00943EF5">
      <w:pPr>
        <w:pStyle w:val="BodyText"/>
        <w:rPr>
          <w:highlight w:val="yellow"/>
        </w:rPr>
      </w:pPr>
    </w:p>
    <w:p w14:paraId="45B637B6" w14:textId="77777777" w:rsidR="00943EF5" w:rsidRDefault="00943EF5" w:rsidP="00943EF5">
      <w:pPr>
        <w:pStyle w:val="BodyText"/>
      </w:pPr>
      <w:r w:rsidRPr="00AE3780">
        <w:t xml:space="preserve">Alternative approaches, such as random forests or gradient boosting, were considered; however, logistic regression was selected due to its interpretability, </w:t>
      </w:r>
      <w:r w:rsidRPr="00AE3780">
        <w:lastRenderedPageBreak/>
        <w:t>which is critical in a healthcare decision-making context.</w:t>
      </w:r>
    </w:p>
    <w:p w14:paraId="7A841FD3" w14:textId="77777777" w:rsidR="00943EF5" w:rsidRDefault="00943EF5" w:rsidP="00943EF5">
      <w:pPr>
        <w:pStyle w:val="BodyText"/>
      </w:pPr>
    </w:p>
    <w:p w14:paraId="39C5D245" w14:textId="77777777" w:rsidR="00943EF5" w:rsidRDefault="00943EF5" w:rsidP="00943EF5">
      <w:pPr>
        <w:pStyle w:val="BodyText"/>
        <w:rPr>
          <w:lang w:val="en-GB"/>
        </w:rPr>
      </w:pPr>
      <w:r w:rsidRPr="008B6644">
        <w:t xml:space="preserve">Successful operational deployment would require clinical governance oversight, integration into existing risk stratification </w:t>
      </w:r>
      <w:r>
        <w:t>software</w:t>
      </w:r>
      <w:r w:rsidRPr="008B6644">
        <w:t>, and agreement on intervention thresholds aligned with service capacity</w:t>
      </w:r>
      <w:r>
        <w:t xml:space="preserve"> and costs.</w:t>
      </w:r>
    </w:p>
    <w:p w14:paraId="75207B34" w14:textId="77777777" w:rsidR="00943EF5" w:rsidRPr="0085485D" w:rsidRDefault="00943EF5" w:rsidP="00943EF5">
      <w:pPr>
        <w:pStyle w:val="BodyText"/>
        <w:rPr>
          <w:lang w:val="en-GB"/>
        </w:rPr>
      </w:pPr>
    </w:p>
    <w:p w14:paraId="233EAE0D" w14:textId="36A7FF31" w:rsidR="00A64FEC" w:rsidRDefault="00A64FEC" w:rsidP="00A64FEC">
      <w:pPr>
        <w:widowControl/>
        <w:autoSpaceDE/>
        <w:autoSpaceDN/>
        <w:spacing w:after="160" w:line="259" w:lineRule="auto"/>
      </w:pPr>
      <w:bookmarkStart w:id="2" w:name="_Toc224908833"/>
      <w:r w:rsidRPr="00614F57">
        <w:rPr>
          <w:rFonts w:ascii="Arial" w:hAnsi="Arial" w:cs="Arial"/>
          <w:sz w:val="24"/>
          <w:szCs w:val="24"/>
          <w:lang w:val="en-GB"/>
        </w:rPr>
        <w:t>Overall, this project demonstrates how linked data and predictive modelling can support population health management by identifying high-risk cohorts, informing targeted interventions, and enabling evidence-based commissioning decisions. It also highlights the importance of aligning analytical outputs with service</w:t>
      </w:r>
      <w:r>
        <w:rPr>
          <w:rFonts w:ascii="Arial" w:hAnsi="Arial" w:cs="Arial"/>
          <w:sz w:val="24"/>
          <w:szCs w:val="24"/>
          <w:lang w:val="en-GB"/>
        </w:rPr>
        <w:t>.</w:t>
      </w:r>
      <w:r w:rsidRPr="00614F57">
        <w:rPr>
          <w:rFonts w:ascii="Arial" w:hAnsi="Arial" w:cs="Arial"/>
          <w:sz w:val="24"/>
          <w:szCs w:val="24"/>
          <w:lang w:val="en-GB"/>
        </w:rPr>
        <w:t xml:space="preserve"> </w:t>
      </w:r>
    </w:p>
    <w:p w14:paraId="7A23676F" w14:textId="3F83CC6B" w:rsidR="00943EF5" w:rsidRDefault="00943EF5" w:rsidP="00943EF5">
      <w:pPr>
        <w:pStyle w:val="BodyText"/>
        <w:rPr>
          <w:b/>
          <w:bCs/>
        </w:rPr>
      </w:pPr>
      <w:r>
        <w:br w:type="page"/>
      </w:r>
    </w:p>
    <w:p w14:paraId="3A43E2C2" w14:textId="09948826" w:rsidR="00943EF5" w:rsidRDefault="00943EF5" w:rsidP="00943EF5">
      <w:pPr>
        <w:pStyle w:val="Heading2"/>
      </w:pPr>
      <w:bookmarkStart w:id="3" w:name="_Toc229057873"/>
      <w:r w:rsidRPr="070A94E9">
        <w:lastRenderedPageBreak/>
        <w:t>Referenc</w:t>
      </w:r>
      <w:r>
        <w:t>es</w:t>
      </w:r>
      <w:bookmarkEnd w:id="2"/>
      <w:bookmarkEnd w:id="3"/>
    </w:p>
    <w:p w14:paraId="595F0F3B" w14:textId="77777777" w:rsidR="00943EF5" w:rsidRPr="002E6FC0" w:rsidRDefault="00943EF5" w:rsidP="00943EF5">
      <w:pPr>
        <w:pStyle w:val="Bibliography"/>
        <w:rPr>
          <w:rFonts w:ascii="Arial" w:hAnsi="Arial" w:cs="Arial"/>
          <w:sz w:val="24"/>
        </w:rPr>
      </w:pPr>
      <w:r>
        <w:fldChar w:fldCharType="begin"/>
      </w:r>
      <w:r>
        <w:instrText xml:space="preserve"> ADDIN ZOTERO_BIBL {"uncited":[],"omitted":[],"custom":[]} CSL_BIBLIOGRAPHY </w:instrText>
      </w:r>
      <w:r>
        <w:fldChar w:fldCharType="separate"/>
      </w:r>
      <w:r w:rsidRPr="002E6FC0">
        <w:rPr>
          <w:rFonts w:ascii="Arial" w:hAnsi="Arial" w:cs="Arial"/>
          <w:sz w:val="24"/>
        </w:rPr>
        <w:t xml:space="preserve">ASH (2020) </w:t>
      </w:r>
      <w:r w:rsidRPr="002E6FC0">
        <w:rPr>
          <w:rFonts w:ascii="Arial" w:hAnsi="Arial" w:cs="Arial"/>
          <w:i/>
          <w:iCs/>
          <w:sz w:val="24"/>
        </w:rPr>
        <w:t>Secondhand Smoke</w:t>
      </w:r>
      <w:r w:rsidRPr="002E6FC0">
        <w:rPr>
          <w:rFonts w:ascii="Arial" w:hAnsi="Arial" w:cs="Arial"/>
          <w:sz w:val="24"/>
        </w:rPr>
        <w:t xml:space="preserve">, </w:t>
      </w:r>
      <w:r w:rsidRPr="002E6FC0">
        <w:rPr>
          <w:rFonts w:ascii="Arial" w:hAnsi="Arial" w:cs="Arial"/>
          <w:i/>
          <w:iCs/>
          <w:sz w:val="24"/>
        </w:rPr>
        <w:t>ASH</w:t>
      </w:r>
      <w:r w:rsidRPr="002E6FC0">
        <w:rPr>
          <w:rFonts w:ascii="Arial" w:hAnsi="Arial" w:cs="Arial"/>
          <w:sz w:val="24"/>
        </w:rPr>
        <w:t>. Available at: https://ash.org.uk/resources/view/secondhand-smoke (Accessed: 9 February 2026).</w:t>
      </w:r>
    </w:p>
    <w:p w14:paraId="2ED833B6" w14:textId="77777777" w:rsidR="00943EF5" w:rsidRPr="002E6FC0" w:rsidRDefault="00943EF5" w:rsidP="00943EF5">
      <w:pPr>
        <w:pStyle w:val="Bibliography"/>
        <w:rPr>
          <w:rFonts w:ascii="Arial" w:hAnsi="Arial" w:cs="Arial"/>
          <w:sz w:val="24"/>
        </w:rPr>
      </w:pPr>
      <w:r w:rsidRPr="002E6FC0">
        <w:rPr>
          <w:rFonts w:ascii="Arial" w:hAnsi="Arial" w:cs="Arial"/>
          <w:sz w:val="24"/>
        </w:rPr>
        <w:t xml:space="preserve">Barrett, C. </w:t>
      </w:r>
      <w:r w:rsidRPr="002E6FC0">
        <w:rPr>
          <w:rFonts w:ascii="Arial" w:hAnsi="Arial" w:cs="Arial"/>
          <w:i/>
          <w:iCs/>
          <w:sz w:val="24"/>
        </w:rPr>
        <w:t>et al.</w:t>
      </w:r>
      <w:r w:rsidRPr="002E6FC0">
        <w:rPr>
          <w:rFonts w:ascii="Arial" w:hAnsi="Arial" w:cs="Arial"/>
          <w:sz w:val="24"/>
        </w:rPr>
        <w:t xml:space="preserve"> (2022) ‘Eat or heat: fuel poverty and childhood respiratory health’, </w:t>
      </w:r>
      <w:r w:rsidRPr="002E6FC0">
        <w:rPr>
          <w:rFonts w:ascii="Arial" w:hAnsi="Arial" w:cs="Arial"/>
          <w:i/>
          <w:iCs/>
          <w:sz w:val="24"/>
        </w:rPr>
        <w:t>The Lancet Respiratory Medicine</w:t>
      </w:r>
      <w:r w:rsidRPr="002E6FC0">
        <w:rPr>
          <w:rFonts w:ascii="Arial" w:hAnsi="Arial" w:cs="Arial"/>
          <w:sz w:val="24"/>
        </w:rPr>
        <w:t>, 10(3), p. 229. Available at: https://doi.org/10.1016/S2213-2600(21)00584-1.</w:t>
      </w:r>
    </w:p>
    <w:p w14:paraId="37448876" w14:textId="77777777" w:rsidR="00943EF5" w:rsidRPr="002E6FC0" w:rsidRDefault="00943EF5" w:rsidP="00943EF5">
      <w:pPr>
        <w:pStyle w:val="Bibliography"/>
        <w:rPr>
          <w:rFonts w:ascii="Arial" w:hAnsi="Arial" w:cs="Arial"/>
          <w:sz w:val="24"/>
        </w:rPr>
      </w:pPr>
      <w:r w:rsidRPr="002E6FC0">
        <w:rPr>
          <w:rFonts w:ascii="Arial" w:hAnsi="Arial" w:cs="Arial"/>
          <w:sz w:val="24"/>
        </w:rPr>
        <w:t xml:space="preserve">Champagne, S., Phimister, E. and Macdiarmid, J. (2023) </w:t>
      </w:r>
      <w:r w:rsidRPr="002E6FC0">
        <w:rPr>
          <w:rFonts w:ascii="Arial" w:hAnsi="Arial" w:cs="Arial"/>
          <w:i/>
          <w:iCs/>
          <w:sz w:val="24"/>
        </w:rPr>
        <w:t>Assessing the impact of energy and fuel poverty on health: a European scoping review. - EBSCO</w:t>
      </w:r>
      <w:r w:rsidRPr="002E6FC0">
        <w:rPr>
          <w:rFonts w:ascii="Arial" w:hAnsi="Arial" w:cs="Arial"/>
          <w:sz w:val="24"/>
        </w:rPr>
        <w:t>. Available at: https://research.ebsco.com/c/daqibk/viewer/html/wtmjede565?auth-callid=d66a782b-1684-4623-81fc-80630800ac34 (Accessed: 14 January 2026).</w:t>
      </w:r>
    </w:p>
    <w:p w14:paraId="5B33EB4F" w14:textId="77777777" w:rsidR="00943EF5" w:rsidRPr="002E6FC0" w:rsidRDefault="00943EF5" w:rsidP="00943EF5">
      <w:pPr>
        <w:pStyle w:val="Bibliography"/>
        <w:rPr>
          <w:rFonts w:ascii="Arial" w:hAnsi="Arial" w:cs="Arial"/>
          <w:sz w:val="24"/>
        </w:rPr>
      </w:pPr>
      <w:r w:rsidRPr="002E6FC0">
        <w:rPr>
          <w:rFonts w:ascii="Arial" w:hAnsi="Arial" w:cs="Arial"/>
          <w:sz w:val="24"/>
        </w:rPr>
        <w:t xml:space="preserve">Chatterton, T.J. </w:t>
      </w:r>
      <w:r w:rsidRPr="002E6FC0">
        <w:rPr>
          <w:rFonts w:ascii="Arial" w:hAnsi="Arial" w:cs="Arial"/>
          <w:i/>
          <w:iCs/>
          <w:sz w:val="24"/>
        </w:rPr>
        <w:t>et al.</w:t>
      </w:r>
      <w:r w:rsidRPr="002E6FC0">
        <w:rPr>
          <w:rFonts w:ascii="Arial" w:hAnsi="Arial" w:cs="Arial"/>
          <w:sz w:val="24"/>
        </w:rPr>
        <w:t xml:space="preserve"> (2016) ‘Mapping household direct energy consumption in the United Kingdom to provide a new perspective on energy justice’, </w:t>
      </w:r>
      <w:r w:rsidRPr="002E6FC0">
        <w:rPr>
          <w:rFonts w:ascii="Arial" w:hAnsi="Arial" w:cs="Arial"/>
          <w:i/>
          <w:iCs/>
          <w:sz w:val="24"/>
        </w:rPr>
        <w:t>Energy Research &amp; Social Science</w:t>
      </w:r>
      <w:r w:rsidRPr="002E6FC0">
        <w:rPr>
          <w:rFonts w:ascii="Arial" w:hAnsi="Arial" w:cs="Arial"/>
          <w:sz w:val="24"/>
        </w:rPr>
        <w:t>, 18, pp. 71–87. Available at: https://doi.org/10.1016/j.erss.2016.04.013.</w:t>
      </w:r>
    </w:p>
    <w:p w14:paraId="71D72ABC" w14:textId="77777777" w:rsidR="00943EF5" w:rsidRPr="002E6FC0" w:rsidRDefault="00943EF5" w:rsidP="00943EF5">
      <w:pPr>
        <w:pStyle w:val="Bibliography"/>
        <w:rPr>
          <w:rFonts w:ascii="Arial" w:hAnsi="Arial" w:cs="Arial"/>
          <w:sz w:val="24"/>
        </w:rPr>
      </w:pPr>
      <w:r w:rsidRPr="002E6FC0">
        <w:rPr>
          <w:rFonts w:ascii="Arial" w:hAnsi="Arial" w:cs="Arial"/>
          <w:sz w:val="24"/>
        </w:rPr>
        <w:t xml:space="preserve">Feng, Y., Miao, Y. and Turner, E. (2025) ‘Examining spatial variations in the relationship between domestic energy consumption and its driving factors using multiscale geographically weighted regression: a case study in Nottingham, England’, </w:t>
      </w:r>
      <w:r w:rsidRPr="002E6FC0">
        <w:rPr>
          <w:rFonts w:ascii="Arial" w:hAnsi="Arial" w:cs="Arial"/>
          <w:i/>
          <w:iCs/>
          <w:sz w:val="24"/>
        </w:rPr>
        <w:t>Energy, Sustainability and Society</w:t>
      </w:r>
      <w:r w:rsidRPr="002E6FC0">
        <w:rPr>
          <w:rFonts w:ascii="Arial" w:hAnsi="Arial" w:cs="Arial"/>
          <w:sz w:val="24"/>
        </w:rPr>
        <w:t>, 15(1), p. 24. Available at: https://doi.org/10.1186/s13705-025-00523-1.</w:t>
      </w:r>
    </w:p>
    <w:p w14:paraId="668F63DB" w14:textId="77777777" w:rsidR="00943EF5" w:rsidRPr="002E6FC0" w:rsidRDefault="00943EF5" w:rsidP="00943EF5">
      <w:pPr>
        <w:pStyle w:val="Bibliography"/>
        <w:rPr>
          <w:rFonts w:ascii="Arial" w:hAnsi="Arial" w:cs="Arial"/>
          <w:sz w:val="24"/>
        </w:rPr>
      </w:pPr>
      <w:r w:rsidRPr="002E6FC0">
        <w:rPr>
          <w:rFonts w:ascii="Arial" w:hAnsi="Arial" w:cs="Arial"/>
          <w:sz w:val="24"/>
        </w:rPr>
        <w:t xml:space="preserve">Friends of the Earth &amp; the and Marmot Review Team (2011) </w:t>
      </w:r>
      <w:r w:rsidRPr="002E6FC0">
        <w:rPr>
          <w:rFonts w:ascii="Arial" w:hAnsi="Arial" w:cs="Arial"/>
          <w:i/>
          <w:iCs/>
          <w:sz w:val="24"/>
        </w:rPr>
        <w:t>The health impacts of cold homes and fuel poverty</w:t>
      </w:r>
      <w:r w:rsidRPr="002E6FC0">
        <w:rPr>
          <w:rFonts w:ascii="Arial" w:hAnsi="Arial" w:cs="Arial"/>
          <w:sz w:val="24"/>
        </w:rPr>
        <w:t>. London: Friends of the Earth &amp; the Marmot Review Team.</w:t>
      </w:r>
    </w:p>
    <w:p w14:paraId="25F6C89D" w14:textId="77777777" w:rsidR="00943EF5" w:rsidRPr="002E6FC0" w:rsidRDefault="00943EF5" w:rsidP="00943EF5">
      <w:pPr>
        <w:pStyle w:val="Bibliography"/>
        <w:rPr>
          <w:rFonts w:ascii="Arial" w:hAnsi="Arial" w:cs="Arial"/>
          <w:sz w:val="24"/>
        </w:rPr>
      </w:pPr>
      <w:r w:rsidRPr="002E6FC0">
        <w:rPr>
          <w:rFonts w:ascii="Arial" w:hAnsi="Arial" w:cs="Arial"/>
          <w:sz w:val="24"/>
        </w:rPr>
        <w:t xml:space="preserve">General Data Protection Regulation (2016) </w:t>
      </w:r>
      <w:r w:rsidRPr="002E6FC0">
        <w:rPr>
          <w:rFonts w:ascii="Arial" w:hAnsi="Arial" w:cs="Arial"/>
          <w:i/>
          <w:iCs/>
          <w:sz w:val="24"/>
        </w:rPr>
        <w:t>Regulation (EU) 2016/679 of the European Parliament and of the Council of 27 April 2016 on the protection of natural persons with regard to the processing of personal data and on the free movement of such data (United Kingdom General Data Protection Regulation) (Text with EEA relevance)</w:t>
      </w:r>
      <w:r w:rsidRPr="002E6FC0">
        <w:rPr>
          <w:rFonts w:ascii="Arial" w:hAnsi="Arial" w:cs="Arial"/>
          <w:sz w:val="24"/>
        </w:rPr>
        <w:t xml:space="preserve">, </w:t>
      </w:r>
      <w:r w:rsidRPr="002E6FC0">
        <w:rPr>
          <w:rFonts w:ascii="Arial" w:hAnsi="Arial" w:cs="Arial"/>
          <w:i/>
          <w:iCs/>
          <w:sz w:val="24"/>
        </w:rPr>
        <w:t>https://webarchive.nationalarchives.gov.uk/eu-exit/https://eur-lex.europa.eu/legal-content/EN/TXT/?uri=CELEX:02016R0679-20160504</w:t>
      </w:r>
      <w:r w:rsidRPr="002E6FC0">
        <w:rPr>
          <w:rFonts w:ascii="Arial" w:hAnsi="Arial" w:cs="Arial"/>
          <w:sz w:val="24"/>
        </w:rPr>
        <w:t>. King’s Printer of Acts of Parliament. Available at: https://www.legislation.gov.uk/eur/2016/679/contents (Accessed: 18 March 2026).</w:t>
      </w:r>
    </w:p>
    <w:p w14:paraId="077AF2C6" w14:textId="77777777" w:rsidR="00943EF5" w:rsidRPr="002E6FC0" w:rsidRDefault="00943EF5" w:rsidP="00943EF5">
      <w:pPr>
        <w:pStyle w:val="Bibliography"/>
        <w:rPr>
          <w:rFonts w:ascii="Arial" w:hAnsi="Arial" w:cs="Arial"/>
          <w:sz w:val="24"/>
        </w:rPr>
      </w:pPr>
      <w:r w:rsidRPr="002E6FC0">
        <w:rPr>
          <w:rFonts w:ascii="Arial" w:hAnsi="Arial" w:cs="Arial"/>
          <w:sz w:val="24"/>
        </w:rPr>
        <w:t xml:space="preserve">Government Data Quality Hub (2020) </w:t>
      </w:r>
      <w:r w:rsidRPr="002E6FC0">
        <w:rPr>
          <w:rFonts w:ascii="Arial" w:hAnsi="Arial" w:cs="Arial"/>
          <w:i/>
          <w:iCs/>
          <w:sz w:val="24"/>
        </w:rPr>
        <w:t>The Government Data Quality Framework</w:t>
      </w:r>
      <w:r w:rsidRPr="002E6FC0">
        <w:rPr>
          <w:rFonts w:ascii="Arial" w:hAnsi="Arial" w:cs="Arial"/>
          <w:sz w:val="24"/>
        </w:rPr>
        <w:t xml:space="preserve">, </w:t>
      </w:r>
      <w:r w:rsidRPr="002E6FC0">
        <w:rPr>
          <w:rFonts w:ascii="Arial" w:hAnsi="Arial" w:cs="Arial"/>
          <w:i/>
          <w:iCs/>
          <w:sz w:val="24"/>
        </w:rPr>
        <w:t>GOV.UK</w:t>
      </w:r>
      <w:r w:rsidRPr="002E6FC0">
        <w:rPr>
          <w:rFonts w:ascii="Arial" w:hAnsi="Arial" w:cs="Arial"/>
          <w:sz w:val="24"/>
        </w:rPr>
        <w:t>. Available at: https://www.gov.uk/government/publications/the-government-data-quality-framework/the-government-data-quality-framework (Accessed: 2 July 2025).</w:t>
      </w:r>
    </w:p>
    <w:p w14:paraId="12C05133" w14:textId="77777777" w:rsidR="00943EF5" w:rsidRPr="002E6FC0" w:rsidRDefault="00943EF5" w:rsidP="00943EF5">
      <w:pPr>
        <w:pStyle w:val="Bibliography"/>
        <w:rPr>
          <w:rFonts w:ascii="Arial" w:hAnsi="Arial" w:cs="Arial"/>
          <w:sz w:val="24"/>
        </w:rPr>
      </w:pPr>
      <w:r w:rsidRPr="002E6FC0">
        <w:rPr>
          <w:rFonts w:ascii="Arial" w:hAnsi="Arial" w:cs="Arial"/>
          <w:sz w:val="24"/>
        </w:rPr>
        <w:t xml:space="preserve">Haixiang, G. </w:t>
      </w:r>
      <w:r w:rsidRPr="002E6FC0">
        <w:rPr>
          <w:rFonts w:ascii="Arial" w:hAnsi="Arial" w:cs="Arial"/>
          <w:i/>
          <w:iCs/>
          <w:sz w:val="24"/>
        </w:rPr>
        <w:t>et al.</w:t>
      </w:r>
      <w:r w:rsidRPr="002E6FC0">
        <w:rPr>
          <w:rFonts w:ascii="Arial" w:hAnsi="Arial" w:cs="Arial"/>
          <w:sz w:val="24"/>
        </w:rPr>
        <w:t xml:space="preserve"> (2017) ‘Learning from class-imbalanced data: Review of methods and applications’, </w:t>
      </w:r>
      <w:r w:rsidRPr="002E6FC0">
        <w:rPr>
          <w:rFonts w:ascii="Arial" w:hAnsi="Arial" w:cs="Arial"/>
          <w:i/>
          <w:iCs/>
          <w:sz w:val="24"/>
        </w:rPr>
        <w:t>Expert Systems with Applications</w:t>
      </w:r>
      <w:r w:rsidRPr="002E6FC0">
        <w:rPr>
          <w:rFonts w:ascii="Arial" w:hAnsi="Arial" w:cs="Arial"/>
          <w:sz w:val="24"/>
        </w:rPr>
        <w:t>, 73, pp. 220–239. Available at: https://doi.org/10.1016/j.eswa.2016.12.035.</w:t>
      </w:r>
    </w:p>
    <w:p w14:paraId="76F7DF00" w14:textId="77777777" w:rsidR="00943EF5" w:rsidRPr="002E6FC0" w:rsidRDefault="00943EF5" w:rsidP="00943EF5">
      <w:pPr>
        <w:pStyle w:val="Bibliography"/>
        <w:rPr>
          <w:rFonts w:ascii="Arial" w:hAnsi="Arial" w:cs="Arial"/>
          <w:sz w:val="24"/>
        </w:rPr>
      </w:pPr>
      <w:r w:rsidRPr="002E6FC0">
        <w:rPr>
          <w:rFonts w:ascii="Arial" w:hAnsi="Arial" w:cs="Arial"/>
          <w:sz w:val="24"/>
        </w:rPr>
        <w:t xml:space="preserve">Healthier Together (2025) </w:t>
      </w:r>
      <w:r w:rsidRPr="002E6FC0">
        <w:rPr>
          <w:rFonts w:ascii="Arial" w:hAnsi="Arial" w:cs="Arial"/>
          <w:i/>
          <w:iCs/>
          <w:sz w:val="24"/>
        </w:rPr>
        <w:t>Needs Assessment Refugees and Asylum Seekers in BNSSG</w:t>
      </w:r>
      <w:r w:rsidRPr="002E6FC0">
        <w:rPr>
          <w:rFonts w:ascii="Arial" w:hAnsi="Arial" w:cs="Arial"/>
          <w:sz w:val="24"/>
        </w:rPr>
        <w:t>. Available at: https://www.bristol.gov.uk/files/documents/8675-jsna-needs-assessment-refugees-and-asylum-seekers-in-bnssg/file (Accessed: 4 February 2026).</w:t>
      </w:r>
    </w:p>
    <w:p w14:paraId="1E32FC29" w14:textId="77777777" w:rsidR="00943EF5" w:rsidRPr="002E6FC0" w:rsidRDefault="00943EF5" w:rsidP="00943EF5">
      <w:pPr>
        <w:pStyle w:val="Bibliography"/>
        <w:rPr>
          <w:rFonts w:ascii="Arial" w:hAnsi="Arial" w:cs="Arial"/>
          <w:sz w:val="24"/>
        </w:rPr>
      </w:pPr>
      <w:r w:rsidRPr="002E6FC0">
        <w:rPr>
          <w:rFonts w:ascii="Arial" w:hAnsi="Arial" w:cs="Arial"/>
          <w:sz w:val="24"/>
        </w:rPr>
        <w:lastRenderedPageBreak/>
        <w:t xml:space="preserve">Henninger, F. (2023) ‘Born-fair Data Projects Using Cookiecutter Templates’, </w:t>
      </w:r>
      <w:r w:rsidRPr="002E6FC0">
        <w:rPr>
          <w:rFonts w:ascii="Arial" w:hAnsi="Arial" w:cs="Arial"/>
          <w:i/>
          <w:iCs/>
          <w:sz w:val="24"/>
        </w:rPr>
        <w:t>Proceedings of the Conference on Research Data Infrastructure</w:t>
      </w:r>
      <w:r w:rsidRPr="002E6FC0">
        <w:rPr>
          <w:rFonts w:ascii="Arial" w:hAnsi="Arial" w:cs="Arial"/>
          <w:sz w:val="24"/>
        </w:rPr>
        <w:t>, 1. Available at: https://doi.org/10.52825/cordi.v1i.331.</w:t>
      </w:r>
    </w:p>
    <w:p w14:paraId="25007FCC" w14:textId="77777777" w:rsidR="00943EF5" w:rsidRPr="002E6FC0" w:rsidRDefault="00943EF5" w:rsidP="00943EF5">
      <w:pPr>
        <w:pStyle w:val="Bibliography"/>
        <w:rPr>
          <w:rFonts w:ascii="Arial" w:hAnsi="Arial" w:cs="Arial"/>
          <w:sz w:val="24"/>
        </w:rPr>
      </w:pPr>
      <w:r w:rsidRPr="002E6FC0">
        <w:rPr>
          <w:rFonts w:ascii="Arial" w:hAnsi="Arial" w:cs="Arial"/>
          <w:sz w:val="24"/>
        </w:rPr>
        <w:t xml:space="preserve">Information Commissioner’s Office (2024) </w:t>
      </w:r>
      <w:r w:rsidRPr="002E6FC0">
        <w:rPr>
          <w:rFonts w:ascii="Arial" w:hAnsi="Arial" w:cs="Arial"/>
          <w:i/>
          <w:iCs/>
          <w:sz w:val="24"/>
        </w:rPr>
        <w:t>A guide to the data protection principles</w:t>
      </w:r>
      <w:r w:rsidRPr="002E6FC0">
        <w:rPr>
          <w:rFonts w:ascii="Arial" w:hAnsi="Arial" w:cs="Arial"/>
          <w:sz w:val="24"/>
        </w:rPr>
        <w:t>. ICO. Available at: https://ico.org.uk/for-organisations/uk-gdpr-guidance-and-resources/data-protection-principles/a-guide-to-the-data-protection-principles/ (Accessed: 21 July 2025).</w:t>
      </w:r>
    </w:p>
    <w:p w14:paraId="1F3372DA" w14:textId="77777777" w:rsidR="00943EF5" w:rsidRPr="002E6FC0" w:rsidRDefault="00943EF5" w:rsidP="00943EF5">
      <w:pPr>
        <w:pStyle w:val="Bibliography"/>
        <w:rPr>
          <w:rFonts w:ascii="Arial" w:hAnsi="Arial" w:cs="Arial"/>
          <w:sz w:val="24"/>
        </w:rPr>
      </w:pPr>
      <w:r w:rsidRPr="002E6FC0">
        <w:rPr>
          <w:rFonts w:ascii="Arial" w:hAnsi="Arial" w:cs="Arial"/>
          <w:sz w:val="24"/>
        </w:rPr>
        <w:t xml:space="preserve">Khemka, A. and Jain, P. (Dr ) A. (2025) ‘Optimizing Data Pipelines With AI In Cloud Environments: Best Practices For Snowflake, Azure, And Databricks’, </w:t>
      </w:r>
      <w:r w:rsidRPr="002E6FC0">
        <w:rPr>
          <w:rFonts w:ascii="Arial" w:hAnsi="Arial" w:cs="Arial"/>
          <w:i/>
          <w:iCs/>
          <w:sz w:val="24"/>
        </w:rPr>
        <w:t>Journal of Quantum Science and Technology</w:t>
      </w:r>
      <w:r w:rsidRPr="002E6FC0">
        <w:rPr>
          <w:rFonts w:ascii="Arial" w:hAnsi="Arial" w:cs="Arial"/>
          <w:sz w:val="24"/>
        </w:rPr>
        <w:t>, 2(2), p. Apr(569-581). Available at: https://doi.org/10.63345/jqst.v2i2.286.</w:t>
      </w:r>
    </w:p>
    <w:p w14:paraId="13C9E273" w14:textId="77777777" w:rsidR="00943EF5" w:rsidRPr="002E6FC0" w:rsidRDefault="00943EF5" w:rsidP="00943EF5">
      <w:pPr>
        <w:pStyle w:val="Bibliography"/>
        <w:rPr>
          <w:rFonts w:ascii="Arial" w:hAnsi="Arial" w:cs="Arial"/>
          <w:sz w:val="24"/>
        </w:rPr>
      </w:pPr>
      <w:r w:rsidRPr="002E6FC0">
        <w:rPr>
          <w:rFonts w:ascii="Arial" w:hAnsi="Arial" w:cs="Arial"/>
          <w:sz w:val="24"/>
        </w:rPr>
        <w:t xml:space="preserve">Martin, J. (2021) </w:t>
      </w:r>
      <w:r w:rsidRPr="002E6FC0">
        <w:rPr>
          <w:rFonts w:ascii="Arial" w:hAnsi="Arial" w:cs="Arial"/>
          <w:i/>
          <w:iCs/>
          <w:sz w:val="24"/>
        </w:rPr>
        <w:t>Lean Six Sigma for the Office, 2nd Edition</w:t>
      </w:r>
      <w:r w:rsidRPr="002E6FC0">
        <w:rPr>
          <w:rFonts w:ascii="Arial" w:hAnsi="Arial" w:cs="Arial"/>
          <w:sz w:val="24"/>
        </w:rPr>
        <w:t>. Available at: https://learning.oreilly.com/library/view/lean-six-sigma/9781000356847/ (Accessed: 11 August 2025).</w:t>
      </w:r>
    </w:p>
    <w:p w14:paraId="430113AB" w14:textId="77777777" w:rsidR="00943EF5" w:rsidRPr="002E6FC0" w:rsidRDefault="00943EF5" w:rsidP="00943EF5">
      <w:pPr>
        <w:pStyle w:val="Bibliography"/>
        <w:rPr>
          <w:rFonts w:ascii="Arial" w:hAnsi="Arial" w:cs="Arial"/>
          <w:sz w:val="24"/>
        </w:rPr>
      </w:pPr>
      <w:r w:rsidRPr="002E6FC0">
        <w:rPr>
          <w:rFonts w:ascii="Arial" w:hAnsi="Arial" w:cs="Arial"/>
          <w:sz w:val="24"/>
        </w:rPr>
        <w:t xml:space="preserve">McKinney, W. (2022) </w:t>
      </w:r>
      <w:r w:rsidRPr="002E6FC0">
        <w:rPr>
          <w:rFonts w:ascii="Arial" w:hAnsi="Arial" w:cs="Arial"/>
          <w:i/>
          <w:iCs/>
          <w:sz w:val="24"/>
        </w:rPr>
        <w:t>Python for Data Analysis, 3rd Edition</w:t>
      </w:r>
      <w:r w:rsidRPr="002E6FC0">
        <w:rPr>
          <w:rFonts w:ascii="Arial" w:hAnsi="Arial" w:cs="Arial"/>
          <w:sz w:val="24"/>
        </w:rPr>
        <w:t>. Available at: https://learning.oreilly.com/library/view/python-for-data/9781098104023/ (Accessed: 12 March 2026).</w:t>
      </w:r>
    </w:p>
    <w:p w14:paraId="1B5C6250" w14:textId="77777777" w:rsidR="00943EF5" w:rsidRPr="002E6FC0" w:rsidRDefault="00943EF5" w:rsidP="00943EF5">
      <w:pPr>
        <w:pStyle w:val="Bibliography"/>
        <w:rPr>
          <w:rFonts w:ascii="Arial" w:hAnsi="Arial" w:cs="Arial"/>
          <w:sz w:val="24"/>
        </w:rPr>
      </w:pPr>
      <w:r w:rsidRPr="002E6FC0">
        <w:rPr>
          <w:rFonts w:ascii="Arial" w:hAnsi="Arial" w:cs="Arial"/>
          <w:sz w:val="24"/>
        </w:rPr>
        <w:t xml:space="preserve">Mohamad, I.B. and Usman, D. (2013) ‘Standardization and Its Effects on K-Means Clustering Algorithm’, </w:t>
      </w:r>
      <w:r w:rsidRPr="002E6FC0">
        <w:rPr>
          <w:rFonts w:ascii="Arial" w:hAnsi="Arial" w:cs="Arial"/>
          <w:i/>
          <w:iCs/>
          <w:sz w:val="24"/>
        </w:rPr>
        <w:t>Research Journal of Applied Sciences, Engineering and Technology</w:t>
      </w:r>
      <w:r w:rsidRPr="002E6FC0">
        <w:rPr>
          <w:rFonts w:ascii="Arial" w:hAnsi="Arial" w:cs="Arial"/>
          <w:sz w:val="24"/>
        </w:rPr>
        <w:t>, 6(17), pp. 3299–3303. Available at: https://doi.org/10.19026/rjaset.6.3638.</w:t>
      </w:r>
    </w:p>
    <w:p w14:paraId="42344CB6" w14:textId="77777777" w:rsidR="00943EF5" w:rsidRPr="002E6FC0" w:rsidRDefault="00943EF5" w:rsidP="00943EF5">
      <w:pPr>
        <w:pStyle w:val="Bibliography"/>
        <w:rPr>
          <w:rFonts w:ascii="Arial" w:hAnsi="Arial" w:cs="Arial"/>
          <w:sz w:val="24"/>
        </w:rPr>
      </w:pPr>
      <w:r w:rsidRPr="002E6FC0">
        <w:rPr>
          <w:rFonts w:ascii="Arial" w:hAnsi="Arial" w:cs="Arial"/>
          <w:sz w:val="24"/>
        </w:rPr>
        <w:t xml:space="preserve">Nair, H. </w:t>
      </w:r>
      <w:r w:rsidRPr="002E6FC0">
        <w:rPr>
          <w:rFonts w:ascii="Arial" w:hAnsi="Arial" w:cs="Arial"/>
          <w:i/>
          <w:iCs/>
          <w:sz w:val="24"/>
        </w:rPr>
        <w:t>et al.</w:t>
      </w:r>
      <w:r w:rsidRPr="002E6FC0">
        <w:rPr>
          <w:rFonts w:ascii="Arial" w:hAnsi="Arial" w:cs="Arial"/>
          <w:sz w:val="24"/>
        </w:rPr>
        <w:t xml:space="preserve"> (2013) ‘Global and regional burden of hospital admissions for severe acute lower respiratory infections in young children in 2010: a systematic analysis’, </w:t>
      </w:r>
      <w:r w:rsidRPr="002E6FC0">
        <w:rPr>
          <w:rFonts w:ascii="Arial" w:hAnsi="Arial" w:cs="Arial"/>
          <w:i/>
          <w:iCs/>
          <w:sz w:val="24"/>
        </w:rPr>
        <w:t>The Lancet</w:t>
      </w:r>
      <w:r w:rsidRPr="002E6FC0">
        <w:rPr>
          <w:rFonts w:ascii="Arial" w:hAnsi="Arial" w:cs="Arial"/>
          <w:sz w:val="24"/>
        </w:rPr>
        <w:t>, 381(9875), pp. 1380–1390. Available at: https://doi.org/10.1016/S0140-6736(12)61901-1.</w:t>
      </w:r>
    </w:p>
    <w:p w14:paraId="6B6FBE0D" w14:textId="77777777" w:rsidR="00943EF5" w:rsidRPr="002E6FC0" w:rsidRDefault="00943EF5" w:rsidP="00943EF5">
      <w:pPr>
        <w:pStyle w:val="Bibliography"/>
        <w:rPr>
          <w:rFonts w:ascii="Arial" w:hAnsi="Arial" w:cs="Arial"/>
          <w:sz w:val="24"/>
        </w:rPr>
      </w:pPr>
      <w:r w:rsidRPr="002E6FC0">
        <w:rPr>
          <w:rFonts w:ascii="Arial" w:hAnsi="Arial" w:cs="Arial"/>
          <w:sz w:val="24"/>
        </w:rPr>
        <w:t xml:space="preserve">OHID (2026) </w:t>
      </w:r>
      <w:r w:rsidRPr="002E6FC0">
        <w:rPr>
          <w:rFonts w:ascii="Arial" w:hAnsi="Arial" w:cs="Arial"/>
          <w:i/>
          <w:iCs/>
          <w:sz w:val="24"/>
        </w:rPr>
        <w:t>Fingertips | Department of Health and Social Care</w:t>
      </w:r>
      <w:r w:rsidRPr="002E6FC0">
        <w:rPr>
          <w:rFonts w:ascii="Arial" w:hAnsi="Arial" w:cs="Arial"/>
          <w:sz w:val="24"/>
        </w:rPr>
        <w:t>. Available at: https://fingertips.phe.org.uk/search/asthma%20admission#page/4/gid/1/pat/15/ati/502/are/E06000023/iid/90810/age/220/sex/4/cat/-1/ctp/-1/yrr/1/cid/4/tbm/1 (Accessed: 20 March 2026).</w:t>
      </w:r>
    </w:p>
    <w:p w14:paraId="38DAF40E" w14:textId="77777777" w:rsidR="00943EF5" w:rsidRPr="002E6FC0" w:rsidRDefault="00943EF5" w:rsidP="00943EF5">
      <w:pPr>
        <w:pStyle w:val="Bibliography"/>
        <w:rPr>
          <w:rFonts w:ascii="Arial" w:hAnsi="Arial" w:cs="Arial"/>
          <w:sz w:val="24"/>
        </w:rPr>
      </w:pPr>
      <w:r w:rsidRPr="002E6FC0">
        <w:rPr>
          <w:rFonts w:ascii="Arial" w:hAnsi="Arial" w:cs="Arial"/>
          <w:sz w:val="24"/>
        </w:rPr>
        <w:t xml:space="preserve">Rogers, P. and Limongi, R. (2025) </w:t>
      </w:r>
      <w:r w:rsidRPr="002E6FC0">
        <w:rPr>
          <w:rFonts w:ascii="Arial" w:hAnsi="Arial" w:cs="Arial"/>
          <w:i/>
          <w:iCs/>
          <w:sz w:val="24"/>
        </w:rPr>
        <w:t>Open Science in Three Acts: Foundations, Practice, and Implementation - Third Act. - EBSCO</w:t>
      </w:r>
      <w:r w:rsidRPr="002E6FC0">
        <w:rPr>
          <w:rFonts w:ascii="Arial" w:hAnsi="Arial" w:cs="Arial"/>
          <w:sz w:val="24"/>
        </w:rPr>
        <w:t>. BAR: Brazilian Administration Review. Available at: https://research.ebsco.com/c/daqibk/viewer/html/vw42ycp7cn (Accessed: 5 March 2026).</w:t>
      </w:r>
    </w:p>
    <w:p w14:paraId="42D19653" w14:textId="77777777" w:rsidR="00943EF5" w:rsidRPr="002E6FC0" w:rsidRDefault="00943EF5" w:rsidP="00943EF5">
      <w:pPr>
        <w:pStyle w:val="Bibliography"/>
        <w:rPr>
          <w:rFonts w:ascii="Arial" w:hAnsi="Arial" w:cs="Arial"/>
          <w:sz w:val="24"/>
        </w:rPr>
      </w:pPr>
      <w:r w:rsidRPr="002E6FC0">
        <w:rPr>
          <w:rFonts w:ascii="Arial" w:hAnsi="Arial" w:cs="Arial"/>
          <w:sz w:val="24"/>
        </w:rPr>
        <w:t xml:space="preserve">Santos, G. (2023) </w:t>
      </w:r>
      <w:r w:rsidRPr="002E6FC0">
        <w:rPr>
          <w:rFonts w:ascii="Arial" w:hAnsi="Arial" w:cs="Arial"/>
          <w:i/>
          <w:iCs/>
          <w:sz w:val="24"/>
        </w:rPr>
        <w:t>Data Wrangling with R</w:t>
      </w:r>
      <w:r w:rsidRPr="002E6FC0">
        <w:rPr>
          <w:rFonts w:ascii="Arial" w:hAnsi="Arial" w:cs="Arial"/>
          <w:sz w:val="24"/>
        </w:rPr>
        <w:t>. Available at: https://learning.oreilly.com/library/view/data-wrangling-with/9781803235400/ (Accessed: 12 February 2026).</w:t>
      </w:r>
    </w:p>
    <w:p w14:paraId="7D80D4CD" w14:textId="77777777" w:rsidR="00943EF5" w:rsidRPr="002E6FC0" w:rsidRDefault="00943EF5" w:rsidP="00943EF5">
      <w:pPr>
        <w:pStyle w:val="Bibliography"/>
        <w:rPr>
          <w:rFonts w:ascii="Arial" w:hAnsi="Arial" w:cs="Arial"/>
          <w:sz w:val="24"/>
        </w:rPr>
      </w:pPr>
      <w:r w:rsidRPr="002E6FC0">
        <w:rPr>
          <w:rFonts w:ascii="Arial" w:hAnsi="Arial" w:cs="Arial"/>
          <w:sz w:val="24"/>
        </w:rPr>
        <w:t xml:space="preserve">Sethi, S. and Panda, S. (2024) ‘SQL or NoSQL—Practical Aspect and Rational behind Choosing Data Stores’, </w:t>
      </w:r>
      <w:r w:rsidRPr="002E6FC0">
        <w:rPr>
          <w:rFonts w:ascii="Arial" w:hAnsi="Arial" w:cs="Arial"/>
          <w:i/>
          <w:iCs/>
          <w:sz w:val="24"/>
        </w:rPr>
        <w:t>Journal of Computer and Communications</w:t>
      </w:r>
      <w:r w:rsidRPr="002E6FC0">
        <w:rPr>
          <w:rFonts w:ascii="Arial" w:hAnsi="Arial" w:cs="Arial"/>
          <w:sz w:val="24"/>
        </w:rPr>
        <w:t>, 12(8), pp. 1–20. Available at: https://doi.org/10.4236/jcc.2024.128001.</w:t>
      </w:r>
    </w:p>
    <w:p w14:paraId="5270B6D4" w14:textId="77777777" w:rsidR="00943EF5" w:rsidRPr="002E6FC0" w:rsidRDefault="00943EF5" w:rsidP="00943EF5">
      <w:pPr>
        <w:pStyle w:val="Bibliography"/>
        <w:rPr>
          <w:rFonts w:ascii="Arial" w:hAnsi="Arial" w:cs="Arial"/>
          <w:sz w:val="24"/>
        </w:rPr>
      </w:pPr>
      <w:r w:rsidRPr="002E6FC0">
        <w:rPr>
          <w:rFonts w:ascii="Arial" w:hAnsi="Arial" w:cs="Arial"/>
          <w:sz w:val="24"/>
        </w:rPr>
        <w:t>Srivastava, A. (2024) ‘Use of Python in Data Science, Data Integration and Data Engineer – IJSREM’. Available at: https://ijsrem.com/download/use-of-python-in-</w:t>
      </w:r>
      <w:r w:rsidRPr="002E6FC0">
        <w:rPr>
          <w:rFonts w:ascii="Arial" w:hAnsi="Arial" w:cs="Arial"/>
          <w:sz w:val="24"/>
        </w:rPr>
        <w:lastRenderedPageBreak/>
        <w:t>data-science-data-integration-and-data-engineer/ (Accessed: 16 March 2026).</w:t>
      </w:r>
    </w:p>
    <w:p w14:paraId="4922D4AE" w14:textId="77777777" w:rsidR="00943EF5" w:rsidRPr="002E6FC0" w:rsidRDefault="00943EF5" w:rsidP="00943EF5">
      <w:pPr>
        <w:pStyle w:val="Bibliography"/>
        <w:rPr>
          <w:rFonts w:ascii="Arial" w:hAnsi="Arial" w:cs="Arial"/>
          <w:sz w:val="24"/>
        </w:rPr>
      </w:pPr>
      <w:r w:rsidRPr="002E6FC0">
        <w:rPr>
          <w:rFonts w:ascii="Arial" w:hAnsi="Arial" w:cs="Arial"/>
          <w:sz w:val="24"/>
        </w:rPr>
        <w:t xml:space="preserve">Stróżyna, M. </w:t>
      </w:r>
      <w:r w:rsidRPr="002E6FC0">
        <w:rPr>
          <w:rFonts w:ascii="Arial" w:hAnsi="Arial" w:cs="Arial"/>
          <w:i/>
          <w:iCs/>
          <w:sz w:val="24"/>
        </w:rPr>
        <w:t>et al.</w:t>
      </w:r>
      <w:r w:rsidRPr="002E6FC0">
        <w:rPr>
          <w:rFonts w:ascii="Arial" w:hAnsi="Arial" w:cs="Arial"/>
          <w:sz w:val="24"/>
        </w:rPr>
        <w:t xml:space="preserve"> (2018) ‘A framework for the quality-based selection and retrieval of open data - a use case from the maritime domain’, </w:t>
      </w:r>
      <w:r w:rsidRPr="002E6FC0">
        <w:rPr>
          <w:rFonts w:ascii="Arial" w:hAnsi="Arial" w:cs="Arial"/>
          <w:i/>
          <w:iCs/>
          <w:sz w:val="24"/>
        </w:rPr>
        <w:t>Electronic Markets</w:t>
      </w:r>
      <w:r w:rsidRPr="002E6FC0">
        <w:rPr>
          <w:rFonts w:ascii="Arial" w:hAnsi="Arial" w:cs="Arial"/>
          <w:sz w:val="24"/>
        </w:rPr>
        <w:t>, 28(2), pp. 219–233. Available at: https://doi.org/10.1007/s12525-017-0277-y.</w:t>
      </w:r>
    </w:p>
    <w:p w14:paraId="5846061B" w14:textId="77777777" w:rsidR="00943EF5" w:rsidRPr="002E6FC0" w:rsidRDefault="00943EF5" w:rsidP="00943EF5">
      <w:pPr>
        <w:pStyle w:val="Bibliography"/>
        <w:rPr>
          <w:rFonts w:ascii="Arial" w:hAnsi="Arial" w:cs="Arial"/>
          <w:sz w:val="24"/>
        </w:rPr>
      </w:pPr>
      <w:r w:rsidRPr="002E6FC0">
        <w:rPr>
          <w:rFonts w:ascii="Arial" w:hAnsi="Arial" w:cs="Arial"/>
          <w:sz w:val="24"/>
        </w:rPr>
        <w:t xml:space="preserve">Walker, D.A. and Smith, T.J. (2019) ‘Logistic Regression Under Sparse Data Conditions’, </w:t>
      </w:r>
      <w:r w:rsidRPr="002E6FC0">
        <w:rPr>
          <w:rFonts w:ascii="Arial" w:hAnsi="Arial" w:cs="Arial"/>
          <w:i/>
          <w:iCs/>
          <w:sz w:val="24"/>
        </w:rPr>
        <w:t>Journal of Modern Applied Statistical Methods</w:t>
      </w:r>
      <w:r w:rsidRPr="002E6FC0">
        <w:rPr>
          <w:rFonts w:ascii="Arial" w:hAnsi="Arial" w:cs="Arial"/>
          <w:sz w:val="24"/>
        </w:rPr>
        <w:t>, 18. Available at: https://doi.org/10.22237/jmasm/1604190660.</w:t>
      </w:r>
    </w:p>
    <w:p w14:paraId="624BF30C" w14:textId="16A31C7D" w:rsidR="00943EF5" w:rsidRDefault="00943EF5" w:rsidP="00EA3B00">
      <w:pPr>
        <w:pStyle w:val="Heading2"/>
      </w:pPr>
      <w:r>
        <w:fldChar w:fldCharType="end"/>
      </w:r>
    </w:p>
    <w:sectPr w:rsidR="00943EF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B09AB" w14:textId="77777777" w:rsidR="00E47FF7" w:rsidRDefault="00E47FF7">
      <w:r>
        <w:separator/>
      </w:r>
    </w:p>
  </w:endnote>
  <w:endnote w:type="continuationSeparator" w:id="0">
    <w:p w14:paraId="0E4B9D31" w14:textId="77777777" w:rsidR="00E47FF7" w:rsidRDefault="00E47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rlito">
    <w:altName w:val="Calibri"/>
    <w:charset w:val="00"/>
    <w:family w:val="swiss"/>
    <w:pitch w:val="variable"/>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9EAEF" w14:textId="77777777" w:rsidR="00E47FF7" w:rsidRDefault="00E47FF7">
      <w:r>
        <w:separator/>
      </w:r>
    </w:p>
  </w:footnote>
  <w:footnote w:type="continuationSeparator" w:id="0">
    <w:p w14:paraId="7F970581" w14:textId="77777777" w:rsidR="00E47FF7" w:rsidRDefault="00E47F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2FDE2" w14:textId="3450AF70" w:rsidR="00943EF5" w:rsidRDefault="00943EF5">
    <w:pPr>
      <w:pStyle w:val="BodyText"/>
      <w:spacing w:line="14" w:lineRule="auto"/>
      <w:rPr>
        <w:sz w:val="20"/>
        <w:lang w:val="en-GB"/>
      </w:rPr>
    </w:pPr>
  </w:p>
  <w:p w14:paraId="4FE28332" w14:textId="77777777" w:rsidR="00943EF5" w:rsidRPr="00B45B02" w:rsidRDefault="00943EF5" w:rsidP="00E42684">
    <w:pPr>
      <w:pStyle w:val="BodyText"/>
      <w:spacing w:line="14" w:lineRule="auto"/>
      <w:ind w:left="2880"/>
      <w:rPr>
        <w:sz w:val="20"/>
        <w:lang w:val="en-GB"/>
      </w:rPr>
    </w:pP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EF5"/>
    <w:rsid w:val="001166B3"/>
    <w:rsid w:val="00293802"/>
    <w:rsid w:val="00315727"/>
    <w:rsid w:val="00614F57"/>
    <w:rsid w:val="007D2F89"/>
    <w:rsid w:val="008D4486"/>
    <w:rsid w:val="00935451"/>
    <w:rsid w:val="00943EF5"/>
    <w:rsid w:val="00A64FEC"/>
    <w:rsid w:val="00E47FF7"/>
    <w:rsid w:val="00E942C5"/>
    <w:rsid w:val="00EA3B00"/>
    <w:rsid w:val="00FB71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13DED"/>
  <w15:chartTrackingRefBased/>
  <w15:docId w15:val="{10731BDA-6834-45BA-915B-EA5F7B468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EF5"/>
    <w:pPr>
      <w:widowControl w:val="0"/>
      <w:autoSpaceDE w:val="0"/>
      <w:autoSpaceDN w:val="0"/>
      <w:spacing w:after="0" w:line="240" w:lineRule="auto"/>
    </w:pPr>
    <w:rPr>
      <w:rFonts w:ascii="Carlito" w:eastAsia="Carlito" w:hAnsi="Carlito" w:cs="Carlito"/>
      <w:kern w:val="0"/>
      <w:lang w:val="en-US"/>
      <w14:ligatures w14:val="none"/>
    </w:rPr>
  </w:style>
  <w:style w:type="paragraph" w:styleId="Heading1">
    <w:name w:val="heading 1"/>
    <w:basedOn w:val="Normal"/>
    <w:next w:val="Normal"/>
    <w:link w:val="Heading1Char"/>
    <w:uiPriority w:val="9"/>
    <w:qFormat/>
    <w:rsid w:val="00943EF5"/>
    <w:pPr>
      <w:keepNext/>
      <w:keepLines/>
      <w:widowControl/>
      <w:autoSpaceDE/>
      <w:autoSpaceDN/>
      <w:spacing w:before="360" w:after="80" w:line="259" w:lineRule="auto"/>
      <w:outlineLvl w:val="0"/>
    </w:pPr>
    <w:rPr>
      <w:rFonts w:asciiTheme="majorHAnsi" w:eastAsiaTheme="majorEastAsia" w:hAnsiTheme="majorHAnsi" w:cstheme="majorBidi"/>
      <w:color w:val="0F4761" w:themeColor="accent1" w:themeShade="BF"/>
      <w:kern w:val="2"/>
      <w:sz w:val="40"/>
      <w:szCs w:val="40"/>
      <w:lang w:val="en-GB"/>
      <w14:ligatures w14:val="standardContextual"/>
    </w:rPr>
  </w:style>
  <w:style w:type="paragraph" w:styleId="Heading2">
    <w:name w:val="heading 2"/>
    <w:basedOn w:val="Normal"/>
    <w:next w:val="Normal"/>
    <w:link w:val="Heading2Char"/>
    <w:uiPriority w:val="9"/>
    <w:unhideWhenUsed/>
    <w:qFormat/>
    <w:rsid w:val="00943EF5"/>
    <w:pPr>
      <w:keepNext/>
      <w:keepLines/>
      <w:widowControl/>
      <w:autoSpaceDE/>
      <w:autoSpaceDN/>
      <w:spacing w:before="160" w:after="80" w:line="259" w:lineRule="auto"/>
      <w:outlineLvl w:val="1"/>
    </w:pPr>
    <w:rPr>
      <w:rFonts w:asciiTheme="majorHAnsi" w:eastAsiaTheme="majorEastAsia" w:hAnsiTheme="majorHAnsi" w:cstheme="majorBidi"/>
      <w:color w:val="0F4761" w:themeColor="accent1" w:themeShade="BF"/>
      <w:kern w:val="2"/>
      <w:sz w:val="32"/>
      <w:szCs w:val="32"/>
      <w:lang w:val="en-GB"/>
      <w14:ligatures w14:val="standardContextual"/>
    </w:rPr>
  </w:style>
  <w:style w:type="paragraph" w:styleId="Heading3">
    <w:name w:val="heading 3"/>
    <w:basedOn w:val="Normal"/>
    <w:next w:val="Normal"/>
    <w:link w:val="Heading3Char"/>
    <w:uiPriority w:val="9"/>
    <w:unhideWhenUsed/>
    <w:qFormat/>
    <w:rsid w:val="00943EF5"/>
    <w:pPr>
      <w:keepNext/>
      <w:keepLines/>
      <w:widowControl/>
      <w:autoSpaceDE/>
      <w:autoSpaceDN/>
      <w:spacing w:before="160" w:after="80" w:line="259" w:lineRule="auto"/>
      <w:outlineLvl w:val="2"/>
    </w:pPr>
    <w:rPr>
      <w:rFonts w:asciiTheme="minorHAnsi" w:eastAsiaTheme="majorEastAsia" w:hAnsiTheme="minorHAnsi" w:cstheme="majorBidi"/>
      <w:color w:val="0F4761"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943EF5"/>
    <w:pPr>
      <w:keepNext/>
      <w:keepLines/>
      <w:widowControl/>
      <w:autoSpaceDE/>
      <w:autoSpaceDN/>
      <w:spacing w:before="80" w:after="40" w:line="259" w:lineRule="auto"/>
      <w:outlineLvl w:val="3"/>
    </w:pPr>
    <w:rPr>
      <w:rFonts w:asciiTheme="minorHAnsi" w:eastAsiaTheme="majorEastAsia" w:hAnsiTheme="minorHAnsi" w:cstheme="majorBidi"/>
      <w:i/>
      <w:iCs/>
      <w:color w:val="0F4761" w:themeColor="accent1" w:themeShade="BF"/>
      <w:kern w:val="2"/>
      <w:lang w:val="en-GB"/>
      <w14:ligatures w14:val="standardContextual"/>
    </w:rPr>
  </w:style>
  <w:style w:type="paragraph" w:styleId="Heading5">
    <w:name w:val="heading 5"/>
    <w:basedOn w:val="Normal"/>
    <w:next w:val="Normal"/>
    <w:link w:val="Heading5Char"/>
    <w:uiPriority w:val="9"/>
    <w:semiHidden/>
    <w:unhideWhenUsed/>
    <w:qFormat/>
    <w:rsid w:val="00943EF5"/>
    <w:pPr>
      <w:keepNext/>
      <w:keepLines/>
      <w:widowControl/>
      <w:autoSpaceDE/>
      <w:autoSpaceDN/>
      <w:spacing w:before="80" w:after="40" w:line="259" w:lineRule="auto"/>
      <w:outlineLvl w:val="4"/>
    </w:pPr>
    <w:rPr>
      <w:rFonts w:asciiTheme="minorHAnsi" w:eastAsiaTheme="majorEastAsia" w:hAnsiTheme="minorHAnsi" w:cstheme="majorBidi"/>
      <w:color w:val="0F4761" w:themeColor="accent1" w:themeShade="BF"/>
      <w:kern w:val="2"/>
      <w:lang w:val="en-GB"/>
      <w14:ligatures w14:val="standardContextual"/>
    </w:rPr>
  </w:style>
  <w:style w:type="paragraph" w:styleId="Heading6">
    <w:name w:val="heading 6"/>
    <w:basedOn w:val="Normal"/>
    <w:next w:val="Normal"/>
    <w:link w:val="Heading6Char"/>
    <w:uiPriority w:val="9"/>
    <w:semiHidden/>
    <w:unhideWhenUsed/>
    <w:qFormat/>
    <w:rsid w:val="00943EF5"/>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GB"/>
      <w14:ligatures w14:val="standardContextual"/>
    </w:rPr>
  </w:style>
  <w:style w:type="paragraph" w:styleId="Heading7">
    <w:name w:val="heading 7"/>
    <w:basedOn w:val="Normal"/>
    <w:next w:val="Normal"/>
    <w:link w:val="Heading7Char"/>
    <w:uiPriority w:val="9"/>
    <w:semiHidden/>
    <w:unhideWhenUsed/>
    <w:qFormat/>
    <w:rsid w:val="00943EF5"/>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GB"/>
      <w14:ligatures w14:val="standardContextual"/>
    </w:rPr>
  </w:style>
  <w:style w:type="paragraph" w:styleId="Heading8">
    <w:name w:val="heading 8"/>
    <w:basedOn w:val="Normal"/>
    <w:next w:val="Normal"/>
    <w:link w:val="Heading8Char"/>
    <w:uiPriority w:val="9"/>
    <w:semiHidden/>
    <w:unhideWhenUsed/>
    <w:qFormat/>
    <w:rsid w:val="00943EF5"/>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GB"/>
      <w14:ligatures w14:val="standardContextual"/>
    </w:rPr>
  </w:style>
  <w:style w:type="paragraph" w:styleId="Heading9">
    <w:name w:val="heading 9"/>
    <w:basedOn w:val="Normal"/>
    <w:next w:val="Normal"/>
    <w:link w:val="Heading9Char"/>
    <w:uiPriority w:val="9"/>
    <w:semiHidden/>
    <w:unhideWhenUsed/>
    <w:qFormat/>
    <w:rsid w:val="00943EF5"/>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GB"/>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E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E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3E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E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E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E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E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E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EF5"/>
    <w:rPr>
      <w:rFonts w:eastAsiaTheme="majorEastAsia" w:cstheme="majorBidi"/>
      <w:color w:val="272727" w:themeColor="text1" w:themeTint="D8"/>
    </w:rPr>
  </w:style>
  <w:style w:type="paragraph" w:styleId="Title">
    <w:name w:val="Title"/>
    <w:basedOn w:val="Normal"/>
    <w:next w:val="Normal"/>
    <w:link w:val="TitleChar"/>
    <w:uiPriority w:val="10"/>
    <w:qFormat/>
    <w:rsid w:val="00943EF5"/>
    <w:pPr>
      <w:widowControl/>
      <w:autoSpaceDE/>
      <w:autoSpaceDN/>
      <w:spacing w:after="80"/>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943E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EF5"/>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943E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EF5"/>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GB"/>
      <w14:ligatures w14:val="standardContextual"/>
    </w:rPr>
  </w:style>
  <w:style w:type="character" w:customStyle="1" w:styleId="QuoteChar">
    <w:name w:val="Quote Char"/>
    <w:basedOn w:val="DefaultParagraphFont"/>
    <w:link w:val="Quote"/>
    <w:uiPriority w:val="29"/>
    <w:rsid w:val="00943EF5"/>
    <w:rPr>
      <w:i/>
      <w:iCs/>
      <w:color w:val="404040" w:themeColor="text1" w:themeTint="BF"/>
    </w:rPr>
  </w:style>
  <w:style w:type="paragraph" w:styleId="ListParagraph">
    <w:name w:val="List Paragraph"/>
    <w:basedOn w:val="Normal"/>
    <w:uiPriority w:val="34"/>
    <w:qFormat/>
    <w:rsid w:val="00943EF5"/>
    <w:pPr>
      <w:widowControl/>
      <w:autoSpaceDE/>
      <w:autoSpaceDN/>
      <w:spacing w:after="160" w:line="259" w:lineRule="auto"/>
      <w:ind w:left="720"/>
      <w:contextualSpacing/>
    </w:pPr>
    <w:rPr>
      <w:rFonts w:asciiTheme="minorHAnsi" w:eastAsiaTheme="minorHAnsi" w:hAnsiTheme="minorHAnsi" w:cstheme="minorBidi"/>
      <w:kern w:val="2"/>
      <w:lang w:val="en-GB"/>
      <w14:ligatures w14:val="standardContextual"/>
    </w:rPr>
  </w:style>
  <w:style w:type="character" w:styleId="IntenseEmphasis">
    <w:name w:val="Intense Emphasis"/>
    <w:basedOn w:val="DefaultParagraphFont"/>
    <w:uiPriority w:val="21"/>
    <w:qFormat/>
    <w:rsid w:val="00943EF5"/>
    <w:rPr>
      <w:i/>
      <w:iCs/>
      <w:color w:val="0F4761" w:themeColor="accent1" w:themeShade="BF"/>
    </w:rPr>
  </w:style>
  <w:style w:type="paragraph" w:styleId="IntenseQuote">
    <w:name w:val="Intense Quote"/>
    <w:basedOn w:val="Normal"/>
    <w:next w:val="Normal"/>
    <w:link w:val="IntenseQuoteChar"/>
    <w:uiPriority w:val="30"/>
    <w:qFormat/>
    <w:rsid w:val="00943EF5"/>
    <w:pPr>
      <w:widowControl/>
      <w:pBdr>
        <w:top w:val="single" w:sz="4" w:space="10" w:color="0F4761" w:themeColor="accent1" w:themeShade="BF"/>
        <w:bottom w:val="single" w:sz="4" w:space="10" w:color="0F476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n-GB"/>
      <w14:ligatures w14:val="standardContextual"/>
    </w:rPr>
  </w:style>
  <w:style w:type="character" w:customStyle="1" w:styleId="IntenseQuoteChar">
    <w:name w:val="Intense Quote Char"/>
    <w:basedOn w:val="DefaultParagraphFont"/>
    <w:link w:val="IntenseQuote"/>
    <w:uiPriority w:val="30"/>
    <w:rsid w:val="00943EF5"/>
    <w:rPr>
      <w:i/>
      <w:iCs/>
      <w:color w:val="0F4761" w:themeColor="accent1" w:themeShade="BF"/>
    </w:rPr>
  </w:style>
  <w:style w:type="character" w:styleId="IntenseReference">
    <w:name w:val="Intense Reference"/>
    <w:basedOn w:val="DefaultParagraphFont"/>
    <w:uiPriority w:val="32"/>
    <w:qFormat/>
    <w:rsid w:val="00943EF5"/>
    <w:rPr>
      <w:b/>
      <w:bCs/>
      <w:smallCaps/>
      <w:color w:val="0F4761" w:themeColor="accent1" w:themeShade="BF"/>
      <w:spacing w:val="5"/>
    </w:rPr>
  </w:style>
  <w:style w:type="paragraph" w:styleId="BodyText">
    <w:name w:val="Body Text"/>
    <w:basedOn w:val="Normal"/>
    <w:link w:val="BodyTextChar"/>
    <w:uiPriority w:val="1"/>
    <w:qFormat/>
    <w:rsid w:val="00943EF5"/>
    <w:rPr>
      <w:rFonts w:ascii="Arial" w:hAnsi="Arial"/>
      <w:sz w:val="24"/>
      <w:szCs w:val="24"/>
    </w:rPr>
  </w:style>
  <w:style w:type="character" w:customStyle="1" w:styleId="BodyTextChar">
    <w:name w:val="Body Text Char"/>
    <w:basedOn w:val="DefaultParagraphFont"/>
    <w:link w:val="BodyText"/>
    <w:uiPriority w:val="1"/>
    <w:rsid w:val="00943EF5"/>
    <w:rPr>
      <w:rFonts w:ascii="Arial" w:eastAsia="Carlito" w:hAnsi="Arial" w:cs="Carlito"/>
      <w:kern w:val="0"/>
      <w:sz w:val="24"/>
      <w:szCs w:val="24"/>
      <w:lang w:val="en-US"/>
      <w14:ligatures w14:val="none"/>
    </w:rPr>
  </w:style>
  <w:style w:type="paragraph" w:styleId="Caption">
    <w:name w:val="caption"/>
    <w:basedOn w:val="Normal"/>
    <w:next w:val="Normal"/>
    <w:uiPriority w:val="35"/>
    <w:unhideWhenUsed/>
    <w:qFormat/>
    <w:rsid w:val="00943EF5"/>
    <w:pPr>
      <w:spacing w:after="200"/>
    </w:pPr>
    <w:rPr>
      <w:i/>
      <w:iCs/>
      <w:color w:val="0E2841" w:themeColor="text2"/>
      <w:sz w:val="18"/>
      <w:szCs w:val="18"/>
    </w:rPr>
  </w:style>
  <w:style w:type="paragraph" w:styleId="Bibliography">
    <w:name w:val="Bibliography"/>
    <w:basedOn w:val="Normal"/>
    <w:next w:val="Normal"/>
    <w:uiPriority w:val="37"/>
    <w:unhideWhenUsed/>
    <w:rsid w:val="00943EF5"/>
    <w:pPr>
      <w:spacing w:after="240"/>
    </w:pPr>
  </w:style>
  <w:style w:type="paragraph" w:styleId="Header">
    <w:name w:val="header"/>
    <w:basedOn w:val="Normal"/>
    <w:link w:val="HeaderChar"/>
    <w:uiPriority w:val="99"/>
    <w:unhideWhenUsed/>
    <w:rsid w:val="00315727"/>
    <w:pPr>
      <w:tabs>
        <w:tab w:val="center" w:pos="4513"/>
        <w:tab w:val="right" w:pos="9026"/>
      </w:tabs>
    </w:pPr>
  </w:style>
  <w:style w:type="character" w:customStyle="1" w:styleId="HeaderChar">
    <w:name w:val="Header Char"/>
    <w:basedOn w:val="DefaultParagraphFont"/>
    <w:link w:val="Header"/>
    <w:uiPriority w:val="99"/>
    <w:rsid w:val="00315727"/>
    <w:rPr>
      <w:rFonts w:ascii="Carlito" w:eastAsia="Carlito" w:hAnsi="Carlito" w:cs="Carlito"/>
      <w:kern w:val="0"/>
      <w:lang w:val="en-US"/>
      <w14:ligatures w14:val="none"/>
    </w:rPr>
  </w:style>
  <w:style w:type="paragraph" w:styleId="Footer">
    <w:name w:val="footer"/>
    <w:basedOn w:val="Normal"/>
    <w:link w:val="FooterChar"/>
    <w:uiPriority w:val="99"/>
    <w:unhideWhenUsed/>
    <w:rsid w:val="00315727"/>
    <w:pPr>
      <w:tabs>
        <w:tab w:val="center" w:pos="4513"/>
        <w:tab w:val="right" w:pos="9026"/>
      </w:tabs>
    </w:pPr>
  </w:style>
  <w:style w:type="character" w:customStyle="1" w:styleId="FooterChar">
    <w:name w:val="Footer Char"/>
    <w:basedOn w:val="DefaultParagraphFont"/>
    <w:link w:val="Footer"/>
    <w:uiPriority w:val="99"/>
    <w:rsid w:val="00315727"/>
    <w:rPr>
      <w:rFonts w:ascii="Carlito" w:eastAsia="Carlito" w:hAnsi="Carlito" w:cs="Carlito"/>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2575</Words>
  <Characters>17205</Characters>
  <Application>Microsoft Office Word</Application>
  <DocSecurity>0</DocSecurity>
  <Lines>400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HOLLIER, Sarah (NHS BRISTOL, NORTH SOMERSET AND SOUTH GLOUCESTERSHIRE ICB - 15C)</dc:creator>
  <cp:keywords/>
  <dc:description/>
  <cp:lastModifiedBy>HOLLIER, Sarah (NHS BRISTOL, NORTH SOMERSET AND SOUTH GLOUCESTERSHIRE ICB - 15C)</cp:lastModifiedBy>
  <cp:revision>6</cp:revision>
  <dcterms:created xsi:type="dcterms:W3CDTF">2026-06-29T11:06:00Z</dcterms:created>
  <dcterms:modified xsi:type="dcterms:W3CDTF">2026-06-29T11:51:00Z</dcterms:modified>
</cp:coreProperties>
</file>