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67827">
      <w:pPr>
        <w:pStyle w:val="32"/>
        <w:keepNext/>
        <w:keepLines w:val="0"/>
        <w:pageBreakBefore w:val="0"/>
        <w:widowControl/>
        <w:kinsoku/>
        <w:wordWrap/>
        <w:overflowPunct/>
        <w:topLinePunct w:val="0"/>
        <w:autoSpaceDE/>
        <w:autoSpaceDN/>
        <w:bidi w:val="0"/>
        <w:adjustRightInd/>
        <w:snapToGrid/>
        <w:spacing w:after="361" w:afterLines="100" w:line="560" w:lineRule="exact"/>
        <w:ind w:firstLineChars="0"/>
        <w:jc w:val="center"/>
        <w:textAlignment w:val="auto"/>
        <w:rPr>
          <w:rFonts w:hint="eastAsia" w:ascii="仿宋_GB2312" w:hAnsi="仿宋_GB2312" w:eastAsia="仿宋_GB2312" w:cs="仿宋_GB2312"/>
          <w:sz w:val="32"/>
          <w:szCs w:val="32"/>
        </w:rPr>
      </w:pPr>
      <w:r>
        <w:rPr>
          <w:rFonts w:hint="eastAsia" w:ascii="华文中宋" w:hAnsi="华文中宋" w:eastAsia="华文中宋" w:cs="华文中宋"/>
          <w:b/>
          <w:color w:val="000000"/>
          <w:sz w:val="40"/>
          <w:szCs w:val="40"/>
        </w:rPr>
        <w:t>从条件化生成到网络意见演化：大语言模型Agent如何重塑公共讨论多样性</w:t>
      </w:r>
    </w:p>
    <w:p w14:paraId="3E9C96B7">
      <w:pPr>
        <w:bidi w:val="0"/>
        <w:rPr>
          <w:rFonts w:hint="eastAsia" w:ascii="仿宋_GB2312" w:hAnsi="仿宋_GB2312" w:eastAsia="仿宋_GB2312" w:cs="仿宋_GB2312"/>
          <w:b w:val="0"/>
          <w:color w:val="000000"/>
          <w:sz w:val="28"/>
          <w:szCs w:val="28"/>
        </w:rPr>
      </w:pPr>
      <w:r>
        <w:rPr>
          <w:rFonts w:hint="eastAsia" w:ascii="仿宋_GB2312" w:hAnsi="仿宋_GB2312" w:eastAsia="仿宋_GB2312" w:cs="仿宋_GB2312"/>
          <w:b w:val="0"/>
          <w:color w:val="000000"/>
          <w:sz w:val="28"/>
          <w:szCs w:val="28"/>
        </w:rPr>
        <w:t>随着大语言模型进入社交媒体、智能助手和内容生产场景，生成式Agent正从信息工具转变为能够持续生成观点、回应他者并参与公共讨论的行动者。既有研究呈现出两类发现：一方面，基于LLM的合成公众意见存在方差压缩、长尾经验流失与少数立场不足等问题；另一方面，LLM-agent网络研究又观察到意见聚类、回音室和极化等群体</w:t>
      </w:r>
      <w:bookmarkStart w:id="0" w:name="_GoBack"/>
      <w:bookmarkEnd w:id="0"/>
      <w:r>
        <w:rPr>
          <w:rFonts w:hint="eastAsia" w:ascii="仿宋_GB2312" w:hAnsi="仿宋_GB2312" w:eastAsia="仿宋_GB2312" w:cs="仿宋_GB2312"/>
          <w:b w:val="0"/>
          <w:color w:val="000000"/>
          <w:sz w:val="28"/>
          <w:szCs w:val="28"/>
        </w:rPr>
        <w:t>结构。由此产生一个尚未得到充分解释的问题：</w:t>
      </w:r>
      <w:r>
        <w:rPr>
          <w:rFonts w:hint="eastAsia" w:ascii="仿宋_GB2312" w:hAnsi="仿宋_GB2312" w:eastAsia="仿宋_GB2312" w:cs="仿宋_GB2312"/>
          <w:b/>
          <w:bCs/>
          <w:color w:val="000000"/>
          <w:sz w:val="28"/>
          <w:szCs w:val="28"/>
        </w:rPr>
        <w:t>大语言模型的生成特征与网络互动如何共同塑造公共讨论中的意见差异与表达多样性？</w:t>
      </w:r>
    </w:p>
    <w:p w14:paraId="4562467A">
      <w:pPr>
        <w:bidi w:val="0"/>
        <w:rPr>
          <w:rFonts w:hint="eastAsia" w:ascii="仿宋_GB2312" w:hAnsi="仿宋_GB2312" w:eastAsia="仿宋_GB2312" w:cs="仿宋_GB2312"/>
          <w:b w:val="0"/>
          <w:color w:val="000000"/>
          <w:sz w:val="28"/>
          <w:szCs w:val="28"/>
        </w:rPr>
      </w:pPr>
      <w:r>
        <w:rPr>
          <w:rFonts w:hint="eastAsia" w:ascii="仿宋_GB2312" w:hAnsi="仿宋_GB2312" w:eastAsia="仿宋_GB2312" w:cs="仿宋_GB2312"/>
          <w:b w:val="0"/>
          <w:color w:val="000000"/>
          <w:sz w:val="28"/>
          <w:szCs w:val="28"/>
        </w:rPr>
        <w:t>本文据此构建由LLM-Agent组成的多轮计算模拟实验。实验首先依据人口调查与总体统计生成具有年龄、教育和职业差异的Agent群体，为其赋予受控的初始立场与理由，并随机映射至固定社会网络。模拟采用事件级异步互动机制：Agent依次读取近期自身历史及当前可见的邻居公开发言，据此重新生成立场、理由与判断把握，并决定是否公开表达；新的公开内容随后成为其他Agent后续互动的信息输入。通过信息暴露—条件化生成—选择性表达—再次暴露的循环，个体生成行为逐步累积为群体层面的意见分布和话语结构。</w:t>
      </w:r>
    </w:p>
    <w:p w14:paraId="5E42D3D4">
      <w:pPr>
        <w:bidi w:val="0"/>
        <w:rPr>
          <w:rFonts w:hint="eastAsia" w:ascii="仿宋_GB2312" w:hAnsi="仿宋_GB2312" w:eastAsia="仿宋_GB2312" w:cs="仿宋_GB2312"/>
          <w:b w:val="0"/>
          <w:color w:val="000000"/>
          <w:sz w:val="28"/>
          <w:szCs w:val="28"/>
        </w:rPr>
      </w:pPr>
      <w:r>
        <w:rPr>
          <w:rFonts w:hint="eastAsia" w:ascii="仿宋_GB2312" w:hAnsi="仿宋_GB2312" w:eastAsia="仿宋_GB2312" w:cs="仿宋_GB2312"/>
          <w:b w:val="0"/>
          <w:color w:val="000000"/>
          <w:sz w:val="28"/>
          <w:szCs w:val="28"/>
        </w:rPr>
        <w:t>在此基础上，研究设置三类比较条件，形成2×2×3实验设计。第一，操纵</w:t>
      </w:r>
      <w:r>
        <w:rPr>
          <w:rFonts w:hint="eastAsia" w:ascii="仿宋_GB2312" w:hAnsi="仿宋_GB2312" w:eastAsia="仿宋_GB2312" w:cs="仿宋_GB2312"/>
          <w:b/>
          <w:bCs/>
          <w:color w:val="000000"/>
          <w:sz w:val="28"/>
          <w:szCs w:val="28"/>
        </w:rPr>
        <w:t>人口身份线索可见性</w:t>
      </w:r>
      <w:r>
        <w:rPr>
          <w:rFonts w:hint="eastAsia" w:ascii="仿宋_GB2312" w:hAnsi="仿宋_GB2312" w:eastAsia="仿宋_GB2312" w:cs="仿宋_GB2312"/>
          <w:b w:val="0"/>
          <w:color w:val="000000"/>
          <w:sz w:val="28"/>
          <w:szCs w:val="28"/>
        </w:rPr>
        <w:t>，比较是否向Agent提供人口背景信息；第二，操纵</w:t>
      </w:r>
      <w:r>
        <w:rPr>
          <w:rFonts w:hint="eastAsia" w:ascii="仿宋_GB2312" w:hAnsi="仿宋_GB2312" w:eastAsia="仿宋_GB2312" w:cs="仿宋_GB2312"/>
          <w:b/>
          <w:bCs/>
          <w:color w:val="000000"/>
          <w:sz w:val="28"/>
          <w:szCs w:val="28"/>
        </w:rPr>
        <w:t>历史立场一致性要求</w:t>
      </w:r>
      <w:r>
        <w:rPr>
          <w:rFonts w:hint="eastAsia" w:ascii="仿宋_GB2312" w:hAnsi="仿宋_GB2312" w:eastAsia="仿宋_GB2312" w:cs="仿宋_GB2312"/>
          <w:b w:val="0"/>
          <w:color w:val="000000"/>
          <w:sz w:val="28"/>
          <w:szCs w:val="28"/>
        </w:rPr>
        <w:t>，比较是否要求当前判断与既有表达形成可解释的衔接，同时允许其依据新信息改变立场；第三，操纵</w:t>
      </w:r>
      <w:r>
        <w:rPr>
          <w:rFonts w:hint="eastAsia" w:ascii="仿宋_GB2312" w:hAnsi="仿宋_GB2312" w:eastAsia="仿宋_GB2312" w:cs="仿宋_GB2312"/>
          <w:b/>
          <w:bCs/>
          <w:color w:val="000000"/>
          <w:sz w:val="28"/>
          <w:szCs w:val="28"/>
        </w:rPr>
        <w:t>信息暴露方式</w:t>
      </w:r>
      <w:r>
        <w:rPr>
          <w:rFonts w:hint="eastAsia" w:ascii="仿宋_GB2312" w:hAnsi="仿宋_GB2312" w:eastAsia="仿宋_GB2312" w:cs="仿宋_GB2312"/>
          <w:b w:val="0"/>
          <w:color w:val="000000"/>
          <w:sz w:val="28"/>
          <w:szCs w:val="28"/>
        </w:rPr>
        <w:t>，分别设置仅接收自身历史的基线、逐节点保持连接度数但重新安排关系的固定shadow网络，以及具有局部聚集特征的固定小世界网络，由此区分自我反馈、社会信息输入和网络组织方式的作用。实验同时记录Agent的信息暴露与理由文本，以考察意见分布和理由多样性的动态变化。</w:t>
      </w:r>
    </w:p>
    <w:p w14:paraId="1217874B">
      <w:pPr>
        <w:bidi w:val="0"/>
        <w:rPr>
          <w:rFonts w:hint="eastAsia" w:ascii="仿宋_GB2312" w:hAnsi="仿宋_GB2312" w:eastAsia="仿宋_GB2312" w:cs="仿宋_GB2312"/>
          <w:b w:val="0"/>
          <w:color w:val="000000"/>
          <w:sz w:val="28"/>
          <w:szCs w:val="28"/>
        </w:rPr>
      </w:pPr>
      <w:r>
        <w:rPr>
          <w:rFonts w:hint="eastAsia" w:ascii="仿宋_GB2312" w:hAnsi="仿宋_GB2312" w:eastAsia="仿宋_GB2312" w:cs="仿宋_GB2312"/>
          <w:b w:val="0"/>
          <w:color w:val="000000"/>
          <w:sz w:val="28"/>
          <w:szCs w:val="28"/>
        </w:rPr>
        <w:t>前期实验初步表明，LLM-agent在持续互动中表现出明显的</w:t>
      </w:r>
      <w:r>
        <w:rPr>
          <w:rFonts w:hint="eastAsia" w:ascii="仿宋_GB2312" w:hAnsi="仿宋_GB2312" w:eastAsia="仿宋_GB2312" w:cs="仿宋_GB2312"/>
          <w:b/>
          <w:bCs/>
          <w:color w:val="000000"/>
          <w:sz w:val="28"/>
          <w:szCs w:val="28"/>
        </w:rPr>
        <w:t>条件性收敛与局部同质化趋势</w:t>
      </w:r>
      <w:r>
        <w:rPr>
          <w:rFonts w:hint="eastAsia" w:ascii="仿宋_GB2312" w:hAnsi="仿宋_GB2312" w:eastAsia="仿宋_GB2312" w:cs="仿宋_GB2312"/>
          <w:b w:val="0"/>
          <w:color w:val="000000"/>
          <w:sz w:val="28"/>
          <w:szCs w:val="28"/>
        </w:rPr>
        <w:t>。在较弱的角色与历史约束下，Agent立场快速向少数高概率位置集中，中间立场和个体差异明显减少；随着互动推进，高频理由和表达框架被反复生成，异质性内容逐渐收缩。在局部聚集的网络环境中，相似意见与理由更容易得到重复暴露和强化，呈现局部信息茧房化特征。相比单纯改变网络拓扑，Agent是否具有稳定的角色背景，以及当前判断是否受到既有历史的持续约束，对意见差异能否保留表现出更稳定的影响。由此，LLM-agent舆论演化并非单一趋同或极化，而可能同时表现为个体层面的意见压缩、局部网络内部的趋同以及不同群体之间持续存在的结构性差异。</w:t>
      </w:r>
    </w:p>
    <w:p w14:paraId="2816BBEC">
      <w:pPr>
        <w:bidi w:val="0"/>
        <w:rPr>
          <w:rFonts w:hint="eastAsia"/>
          <w:sz w:val="28"/>
          <w:szCs w:val="28"/>
        </w:rPr>
      </w:pPr>
      <w:r>
        <w:rPr>
          <w:rFonts w:hint="eastAsia" w:ascii="仿宋_GB2312" w:hAnsi="仿宋_GB2312" w:eastAsia="仿宋_GB2312" w:cs="仿宋_GB2312"/>
          <w:b w:val="0"/>
          <w:color w:val="000000"/>
          <w:sz w:val="28"/>
          <w:szCs w:val="28"/>
        </w:rPr>
        <w:t>LLM-agent意见演化的意义不只在于机器系统内部形成何种分布，更在于它预示着生成式AI进入真实舆论场后对人类意见形成环境的潜在重构。随着AI持续参与公共表达，它们正在改变人们能够看到哪些观点、接触哪些理由、感知怎样的多数与少数，并进一步影响个体判断与群体认知。因而，生成式AI对公共舆论的关键作用，在于其持续重塑社会中的意见可见性结构、理由供给和形成条件；受到改变的不仅是机器系统中的意见分布，更是人类接触分歧、理解他者并形成自身判断的公共认知基础。</w:t>
      </w:r>
    </w:p>
    <w:sectPr>
      <w:footerReference r:id="rId5" w:type="default"/>
      <w:pgSz w:w="11906" w:h="16838"/>
      <w:pgMar w:top="1417" w:right="1474" w:bottom="1417" w:left="1587" w:header="850"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1" w:fontKey="{D0AA150F-149D-4838-B38E-DA2443D0F1BF}"/>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华文中宋">
    <w:panose1 w:val="02010600040101010101"/>
    <w:charset w:val="86"/>
    <w:family w:val="auto"/>
    <w:pitch w:val="default"/>
    <w:sig w:usb0="00000287" w:usb1="080F0000" w:usb2="00000000" w:usb3="00000000" w:csb0="0004009F" w:csb1="DFD70000"/>
    <w:embedRegular r:id="rId2" w:fontKey="{56174642-5D3C-4ABA-8BA9-A8EF1E3DE527}"/>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55F55">
    <w:pPr>
      <w:pStyle w:val="24"/>
      <w:ind w:firstLine="0"/>
      <w:jc w:val="center"/>
    </w:pPr>
    <w:r>
      <w:rPr>
        <w:rFonts w:ascii="Times New Roman" w:hAnsi="Times New Roman" w:eastAsia="宋体" w:cs="Times New Roman"/>
        <w:color w:val="000000"/>
        <w:sz w:val="18"/>
        <w:szCs w:val="18"/>
      </w:rPr>
      <w:fldChar w:fldCharType="begin"/>
    </w:r>
    <w:r>
      <w:rPr>
        <w:rFonts w:ascii="Times New Roman" w:hAnsi="Times New Roman" w:eastAsia="宋体" w:cs="Times New Roman"/>
        <w:color w:val="000000"/>
        <w:sz w:val="18"/>
        <w:szCs w:val="18"/>
      </w:rPr>
      <w:instrText xml:space="preserve"> PAGE </w:instrText>
    </w:r>
    <w:r>
      <w:rPr>
        <w:rFonts w:ascii="Times New Roman" w:hAnsi="Times New Roman" w:eastAsia="宋体" w:cs="Times New Roman"/>
        <w:color w:val="000000"/>
        <w:sz w:val="18"/>
        <w:szCs w:val="18"/>
      </w:rPr>
      <w:fldChar w:fldCharType="separate"/>
    </w:r>
    <w:r>
      <w:rPr>
        <w:rFonts w:ascii="Times New Roman" w:hAnsi="Times New Roman" w:eastAsia="宋体" w:cs="Times New Roman"/>
        <w:color w:val="000000"/>
        <w:sz w:val="18"/>
        <w:szCs w:val="18"/>
      </w:rPr>
      <w:t>1</w:t>
    </w:r>
    <w:r>
      <w:rPr>
        <w:rFonts w:ascii="Times New Roman" w:hAnsi="Times New Roman" w:eastAsia="宋体" w:cs="Times New Roman"/>
        <w:color w:val="00000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640"/>
      </w:pPr>
      <w:r>
        <w:separator/>
      </w:r>
    </w:p>
  </w:footnote>
  <w:footnote w:type="continuationSeparator" w:id="1">
    <w:p>
      <w:pPr>
        <w:spacing w:before="0" w:after="0"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A7777"/>
    <w:rsid w:val="04D01847"/>
    <w:rsid w:val="0AC50DDC"/>
    <w:rsid w:val="0AF51D1E"/>
    <w:rsid w:val="0E3B2BEC"/>
    <w:rsid w:val="10562895"/>
    <w:rsid w:val="1128459B"/>
    <w:rsid w:val="11ED5DE0"/>
    <w:rsid w:val="14690C4B"/>
    <w:rsid w:val="160550C9"/>
    <w:rsid w:val="172441DF"/>
    <w:rsid w:val="18FB4F3C"/>
    <w:rsid w:val="1A0041EE"/>
    <w:rsid w:val="1AF951B2"/>
    <w:rsid w:val="1C2F4C4D"/>
    <w:rsid w:val="1D081E29"/>
    <w:rsid w:val="1F606B81"/>
    <w:rsid w:val="20453C6F"/>
    <w:rsid w:val="21182AFA"/>
    <w:rsid w:val="22F377CF"/>
    <w:rsid w:val="243134C3"/>
    <w:rsid w:val="24BF4921"/>
    <w:rsid w:val="25DE031D"/>
    <w:rsid w:val="274D272A"/>
    <w:rsid w:val="297B506E"/>
    <w:rsid w:val="2A44564D"/>
    <w:rsid w:val="2DA60FDE"/>
    <w:rsid w:val="2F0323C8"/>
    <w:rsid w:val="2F2C0B1D"/>
    <w:rsid w:val="334A1B75"/>
    <w:rsid w:val="3395069E"/>
    <w:rsid w:val="35BF581E"/>
    <w:rsid w:val="38E946AA"/>
    <w:rsid w:val="3A425617"/>
    <w:rsid w:val="3CCE6095"/>
    <w:rsid w:val="3CDD0DD0"/>
    <w:rsid w:val="3F467ED5"/>
    <w:rsid w:val="41840E0E"/>
    <w:rsid w:val="44332799"/>
    <w:rsid w:val="45AB129D"/>
    <w:rsid w:val="486419B3"/>
    <w:rsid w:val="4937469C"/>
    <w:rsid w:val="4A9D2E1F"/>
    <w:rsid w:val="4BCD7E5B"/>
    <w:rsid w:val="4CCA7EF7"/>
    <w:rsid w:val="4E0524D1"/>
    <w:rsid w:val="4EA21CDD"/>
    <w:rsid w:val="4EA71845"/>
    <w:rsid w:val="4FBD750E"/>
    <w:rsid w:val="50F92314"/>
    <w:rsid w:val="51E0420B"/>
    <w:rsid w:val="52DF464E"/>
    <w:rsid w:val="532F5CD5"/>
    <w:rsid w:val="55322ADD"/>
    <w:rsid w:val="55AD0DF8"/>
    <w:rsid w:val="55F726AB"/>
    <w:rsid w:val="56EB5639"/>
    <w:rsid w:val="58133B49"/>
    <w:rsid w:val="58E47FB6"/>
    <w:rsid w:val="596064A1"/>
    <w:rsid w:val="5BAA161F"/>
    <w:rsid w:val="5D3F223B"/>
    <w:rsid w:val="5D972FAA"/>
    <w:rsid w:val="5F8D1984"/>
    <w:rsid w:val="63BF7C32"/>
    <w:rsid w:val="6479428F"/>
    <w:rsid w:val="67BA7331"/>
    <w:rsid w:val="6A0A1DD0"/>
    <w:rsid w:val="6AB81DA8"/>
    <w:rsid w:val="6BAF5BD8"/>
    <w:rsid w:val="6C6A0C76"/>
    <w:rsid w:val="6FF86ADB"/>
    <w:rsid w:val="71FE401B"/>
    <w:rsid w:val="73781FB7"/>
    <w:rsid w:val="76D1673E"/>
    <w:rsid w:val="77680BB7"/>
    <w:rsid w:val="77C11D73"/>
    <w:rsid w:val="77F144A1"/>
    <w:rsid w:val="786971B0"/>
    <w:rsid w:val="78CC4217"/>
    <w:rsid w:val="7A776F48"/>
    <w:rsid w:val="7AD16771"/>
    <w:rsid w:val="7B171B3B"/>
    <w:rsid w:val="7B252618"/>
    <w:rsid w:val="7C10445D"/>
    <w:rsid w:val="7D7D1F92"/>
    <w:rsid w:val="7E6D0F20"/>
    <w:rsid w:val="D9EB22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keepNext w:val="0"/>
      <w:keepLines w:val="0"/>
      <w:pageBreakBefore w:val="0"/>
      <w:widowControl/>
      <w:kinsoku/>
      <w:wordWrap/>
      <w:overflowPunct/>
      <w:topLinePunct w:val="0"/>
      <w:autoSpaceDE/>
      <w:autoSpaceDN/>
      <w:bidi w:val="0"/>
      <w:adjustRightInd/>
      <w:snapToGrid/>
      <w:spacing w:before="0" w:after="0" w:line="560" w:lineRule="exact"/>
      <w:ind w:firstLine="640" w:firstLineChars="200"/>
      <w:jc w:val="both"/>
      <w:textAlignment w:val="auto"/>
    </w:pPr>
    <w:rPr>
      <w:rFonts w:ascii="仿宋_GB2312" w:hAnsi="仿宋_GB2312" w:eastAsia="仿宋_GB2312" w:cs="仿宋_GB2312"/>
      <w:color w:val="000000"/>
      <w:sz w:val="32"/>
      <w:szCs w:val="32"/>
      <w:lang w:val="en-US" w:eastAsia="en-US" w:bidi="ar-SA"/>
    </w:rPr>
  </w:style>
  <w:style w:type="paragraph" w:styleId="3">
    <w:name w:val="heading 1"/>
    <w:basedOn w:val="1"/>
    <w:next w:val="1"/>
    <w:link w:val="139"/>
    <w:qFormat/>
    <w:uiPriority w:val="9"/>
    <w:pPr>
      <w:spacing w:before="181" w:beforeLines="50" w:after="181" w:afterLines="50"/>
      <w:ind w:firstLine="0" w:firstLineChars="0"/>
      <w:outlineLvl w:val="0"/>
    </w:pPr>
    <w:rPr>
      <w:rFonts w:ascii="黑体" w:hAnsi="黑体" w:eastAsia="黑体" w:cs="黑体"/>
      <w:bCs/>
      <w:lang w:eastAsia="zh-CN"/>
    </w:rPr>
  </w:style>
  <w:style w:type="paragraph" w:styleId="4">
    <w:name w:val="heading 2"/>
    <w:basedOn w:val="1"/>
    <w:next w:val="1"/>
    <w:link w:val="140"/>
    <w:unhideWhenUsed/>
    <w:qFormat/>
    <w:uiPriority w:val="9"/>
    <w:pPr>
      <w:keepNext/>
      <w:keepLines/>
      <w:spacing w:beforeLines="0"/>
      <w:ind w:firstLine="0" w:firstLineChars="0"/>
      <w:outlineLvl w:val="1"/>
    </w:pPr>
    <w:rPr>
      <w:rFonts w:ascii="楷体_GB2312" w:eastAsia="楷体_GB2312"/>
      <w:color w:val="auto"/>
      <w:lang w:eastAsia="zh-CN"/>
    </w:rPr>
  </w:style>
  <w:style w:type="paragraph" w:styleId="5">
    <w:name w:val="heading 3"/>
    <w:basedOn w:val="1"/>
    <w:next w:val="1"/>
    <w:link w:val="141"/>
    <w:unhideWhenUsed/>
    <w:qFormat/>
    <w:uiPriority w:val="9"/>
    <w:pPr>
      <w:keepNext/>
      <w:keepLines/>
      <w:spacing w:before="181" w:beforeLines="50"/>
      <w:ind w:firstLine="0" w:firstLineChars="0"/>
      <w:outlineLvl w:val="2"/>
    </w:pPr>
    <w:rPr>
      <w:rFonts w:ascii="楷体_GB2312" w:eastAsia="楷体_GB2312"/>
      <w:color w:val="auto"/>
      <w:lang w:eastAsia="zh-CN"/>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60" w:after="120" w:line="240" w:lineRule="auto"/>
      <w:ind w:firstLine="0"/>
      <w:jc w:val="center"/>
    </w:pPr>
    <w:rPr>
      <w:rFonts w:ascii="Times New Roman" w:hAnsi="Times New Roman" w:eastAsia="楷体" w:cs="Times New Roman"/>
      <w:bCs/>
      <w:color w:val="000000"/>
      <w:sz w:val="21"/>
      <w:szCs w:val="21"/>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spacing w:before="0" w:after="240" w:line="360" w:lineRule="auto"/>
      <w:ind w:firstLine="0"/>
      <w:jc w:val="center"/>
    </w:pPr>
    <w:rPr>
      <w:rFonts w:ascii="Times New Roman" w:hAnsi="Times New Roman" w:eastAsia="华文中宋" w:cs="Times New Roman"/>
      <w:b/>
      <w:color w:val="000000"/>
      <w:sz w:val="36"/>
      <w:szCs w:val="36"/>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link w:val="3"/>
    <w:qFormat/>
    <w:uiPriority w:val="9"/>
    <w:rPr>
      <w:rFonts w:ascii="黑体" w:hAnsi="黑体" w:eastAsia="黑体" w:cs="黑体"/>
      <w:bCs/>
      <w:color w:val="000000"/>
      <w:sz w:val="32"/>
      <w:szCs w:val="32"/>
      <w:lang w:val="en-US" w:eastAsia="zh-CN" w:bidi="ar-SA"/>
    </w:rPr>
  </w:style>
  <w:style w:type="character" w:customStyle="1" w:styleId="140">
    <w:name w:val="Heading 2 Char"/>
    <w:link w:val="4"/>
    <w:qFormat/>
    <w:uiPriority w:val="9"/>
    <w:rPr>
      <w:rFonts w:ascii="楷体_GB2312" w:hAnsi="仿宋_GB2312" w:eastAsia="楷体_GB2312" w:cs="仿宋_GB2312"/>
      <w:color w:val="000000"/>
      <w:sz w:val="32"/>
      <w:szCs w:val="32"/>
      <w:lang w:val="en-US" w:eastAsia="zh-CN" w:bidi="ar-SA"/>
    </w:rPr>
  </w:style>
  <w:style w:type="character" w:customStyle="1" w:styleId="141">
    <w:name w:val="Heading 3 Char"/>
    <w:link w:val="5"/>
    <w:qFormat/>
    <w:uiPriority w:val="9"/>
    <w:rPr>
      <w:rFonts w:ascii="楷体_GB2312" w:hAnsi="仿宋_GB2312" w:eastAsia="楷体_GB2312" w:cs="仿宋_GB2312"/>
      <w:color w:val="auto"/>
      <w:sz w:val="32"/>
      <w:szCs w:val="32"/>
      <w:lang w:val="en-US" w:eastAsia="zh-CN" w:bidi="ar-SA"/>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3513</Words>
  <Characters>3548</Characters>
  <Lines>0</Lines>
  <Paragraphs>0</Paragraphs>
  <TotalTime>10</TotalTime>
  <ScaleCrop>false</ScaleCrop>
  <LinksUpToDate>false</LinksUpToDate>
  <CharactersWithSpaces>3551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谢建双</dc:creator>
  <dc:description>generated by python-docx</dc:description>
  <cp:lastModifiedBy>彭晨曦</cp:lastModifiedBy>
  <dcterms:modified xsi:type="dcterms:W3CDTF">2026-09-28T06:03:07Z</dcterms:modified>
  <dc:title>涉教网络乱象综合治理的法律政策依据与典型案例研究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8EC74DA8DA1479BEFBE4AB6A71FF9E16_42</vt:lpwstr>
  </property>
  <property fmtid="{D5CDD505-2E9C-101B-9397-08002B2CF9AE}" pid="4" name="KSOTemplateDocerSaveRecord">
    <vt:lpwstr>eyJoZGlkIjoiZThmNjAzMWJlZjFkMmQwODUwMTJkYzE2ODFiYmFmYTciLCJ1c2VySWQiOiIxNDg2ODkyMjg3In0=</vt:lpwstr>
  </property>
</Properties>
</file>