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Critical Reflection Report</w:t>
      </w:r>
    </w:p>
    <w:p>
      <w:pPr>
        <w:spacing w:after="80"/>
        <w:jc w:val="center"/>
      </w:pPr>
      <w:r>
        <w:rPr>
          <w:rFonts w:ascii="Times New Roman" w:cs="Times New Roman" w:eastAsia="Times New Roman" w:hAnsi="Times New Roman"/>
          <w:b/>
          <w:bCs/>
          <w:i/>
          <w:iCs/>
          <w:sz w:val="28"/>
          <w:szCs w:val="28"/>
        </w:rPr>
        <w:t xml:space="preserve">Human Person Detection: Deep Learning vs Traditional Machine Learning</w:t>
      </w:r>
    </w:p>
    <w:p>
      <w:pPr>
        <w:spacing w:after="80"/>
        <w:jc w:val="center"/>
      </w:pPr>
      <w:r>
        <w:rPr>
          <w:rFonts w:ascii="Times New Roman" w:cs="Times New Roman" w:eastAsia="Times New Roman" w:hAnsi="Times New Roman"/>
          <w:sz w:val="24"/>
          <w:szCs w:val="24"/>
        </w:rPr>
        <w:t xml:space="preserve">WMG9B7-15 — Artificial Intelligence &amp; Deep Learning — Individual Assessment 2025/26</w:t>
      </w:r>
    </w:p>
    <w:p>
      <w:pPr>
        <w:spacing w:after="400"/>
        <w:jc w:val="center"/>
      </w:pPr>
      <w:r>
        <w:rPr>
          <w:rFonts w:ascii="Times New Roman" w:cs="Times New Roman" w:eastAsia="Times New Roman" w:hAnsi="Times New Roman"/>
          <w:i/>
          <w:iCs/>
          <w:sz w:val="22"/>
          <w:szCs w:val="22"/>
        </w:rPr>
        <w:t xml:space="preserve">Word Count (excluding references and headings): ~2,800 words</w:t>
      </w:r>
    </w:p>
    <w:p>
      <w:pPr>
        <w:pStyle w:val="Heading1"/>
        <w:spacing w:after="160" w:before="320"/>
      </w:pPr>
      <w:r>
        <w:rPr>
          <w:rFonts w:ascii="Times New Roman" w:cs="Times New Roman" w:eastAsia="Times New Roman" w:hAnsi="Times New Roman"/>
          <w:b/>
          <w:bCs/>
          <w:sz w:val="32"/>
          <w:szCs w:val="32"/>
        </w:rPr>
        <w:t xml:space="preserve">1. Introduction and Problem Context</w:t>
      </w:r>
    </w:p>
    <w:p>
      <w:pPr>
        <w:spacing w:after="160" w:line="360"/>
        <w:jc w:val="both"/>
      </w:pPr>
      <w:r>
        <w:rPr>
          <w:rFonts w:ascii="Times New Roman" w:cs="Times New Roman" w:eastAsia="Times New Roman" w:hAnsi="Times New Roman"/>
          <w:sz w:val="24"/>
          <w:szCs w:val="24"/>
        </w:rPr>
        <w:t xml:space="preserve">The automatic detection and localisation of human persons in digital imagery constitutes one of the most consequential challenges in applied computer vision. From public safety systems and smart surveillance to robotic navigation, autonomous vehicles, and assistive healthcare technology, the ability to reliably identify people in complex, unconstrained environments underpins a broad spectrum of safety-critical and commercially valuable applications (Dollár et al., 2012; Zhang et al., 2022). Despite decades of research, the problem remains non-trivial due to the extreme variability in human appearance, pose, scale, occlusion, and lighting conditions encountered in real-world scenes (Benenson et al., 2014).</w:t>
      </w:r>
    </w:p>
    <w:p>
      <w:pPr>
        <w:spacing w:after="160" w:line="360"/>
        <w:jc w:val="both"/>
      </w:pPr>
      <w:r>
        <w:rPr>
          <w:rFonts w:ascii="Times New Roman" w:cs="Times New Roman" w:eastAsia="Times New Roman" w:hAnsi="Times New Roman"/>
          <w:sz w:val="24"/>
          <w:szCs w:val="24"/>
        </w:rPr>
        <w:t xml:space="preserve">This project develops and critically evaluates a human person detection system by implementing and comparing four distinct approaches on the COCO 2017 benchmark dataset (Lin et al., 2014): (1) a pretrained YOLOv8n baseline (Jocher et al., 2023); (2) a fine-tuned YOLOv8n adapted to the person class through a structured two-phase training strategy; (3) a fine-tuned Faster R-CNN with a ResNet-50 FPN backbone (Ren et al., 2015); and (4) a classical Histogram of Oriented Gradients (HOG) combined with a Linear Support Vector Machine (HOG+SVM) as the traditional machine learning (TML) baseline (Dalal and Triggs, 2005). The COCO dataset was chosen for its scale, diversity, and its status as the de facto benchmark for object detection research, comprising over 118,000 training images with 80 annotated object categories, of which the person class (category ID 1) is the most prevalent.</w:t>
      </w:r>
    </w:p>
    <w:p>
      <w:pPr>
        <w:spacing w:after="160" w:line="360"/>
        <w:jc w:val="both"/>
      </w:pPr>
      <w:r>
        <w:rPr>
          <w:rFonts w:ascii="Times New Roman" w:cs="Times New Roman" w:eastAsia="Times New Roman" w:hAnsi="Times New Roman"/>
          <w:sz w:val="24"/>
          <w:szCs w:val="24"/>
        </w:rPr>
        <w:t xml:space="preserve">The experimental scope is intentionally designed to enable a rigorous, empirically grounded comparison of deep learning (DL) and traditional ML paradigms across accuracy, inference speed, interpretability, and calibration dimensions — directly addressing the learning outcomes assessed in this module.</w:t>
      </w:r>
    </w:p>
    <w:p>
      <w:pPr>
        <w:pStyle w:val="Heading1"/>
        <w:spacing w:after="160" w:before="320"/>
      </w:pPr>
      <w:r>
        <w:rPr>
          <w:rFonts w:ascii="Times New Roman" w:cs="Times New Roman" w:eastAsia="Times New Roman" w:hAnsi="Times New Roman"/>
          <w:b/>
          <w:bCs/>
          <w:sz w:val="32"/>
          <w:szCs w:val="32"/>
        </w:rPr>
        <w:t xml:space="preserve">2. Business Understanding and Real-World Relevance</w:t>
      </w:r>
    </w:p>
    <w:p>
      <w:pPr>
        <w:spacing w:after="160" w:line="360"/>
        <w:jc w:val="both"/>
      </w:pPr>
      <w:r>
        <w:rPr>
          <w:rFonts w:ascii="Times New Roman" w:cs="Times New Roman" w:eastAsia="Times New Roman" w:hAnsi="Times New Roman"/>
          <w:sz w:val="24"/>
          <w:szCs w:val="24"/>
        </w:rPr>
        <w:t xml:space="preserve">Person detection is commercially deployed across multiple high-value domains. In retail analytics, overhead cameras coupled with person detectors enable customer flow analysis, dwell-time monitoring, and queue management — applications estimated to form a £4.5 billion global market by 2027 (MarketsandMarkets, 2023). In healthcare, fall-detection systems in care homes leverage real-time person detection to trigger emergency alerts, directly reducing patient harm (Adhikari et al., 2017). In public infrastructure, crowd monitoring and social distancing enforcement during the COVID-19 pandemic demonstrated the societal utility of scalable, reliable person detection (Cristani et al., 2020).</w:t>
      </w:r>
    </w:p>
    <w:p>
      <w:pPr>
        <w:spacing w:after="160" w:line="360"/>
        <w:jc w:val="both"/>
      </w:pPr>
      <w:r>
        <w:rPr>
          <w:rFonts w:ascii="Times New Roman" w:cs="Times New Roman" w:eastAsia="Times New Roman" w:hAnsi="Times New Roman"/>
          <w:sz w:val="24"/>
          <w:szCs w:val="24"/>
        </w:rPr>
        <w:t xml:space="preserve">The choice of COCO 2017 as the training corpus is particularly well motivated for real-world deployment: its images are drawn from everyday internet sources and capture the full diversity of scene types, lighting conditions, occlusion patterns, and person scales likely to be encountered in operational deployment. The project's evaluation on a strictly held-out test partition (10,000 images from the training corpus, randomly sampled with seed 42) ensures that performance estimates are unbiased and operationally meaningful.</w:t>
      </w:r>
    </w:p>
    <w:p>
      <w:pPr>
        <w:pStyle w:val="Heading1"/>
        <w:spacing w:after="160" w:before="320"/>
      </w:pPr>
      <w:r>
        <w:rPr>
          <w:rFonts w:ascii="Times New Roman" w:cs="Times New Roman" w:eastAsia="Times New Roman" w:hAnsi="Times New Roman"/>
          <w:b/>
          <w:bCs/>
          <w:sz w:val="32"/>
          <w:szCs w:val="32"/>
        </w:rPr>
        <w:t xml:space="preserve">3. Traditional Machine Learning vs Deep Learning: A Critical Comparison</w:t>
      </w:r>
    </w:p>
    <w:p>
      <w:pPr>
        <w:pStyle w:val="Heading2"/>
        <w:spacing w:after="120" w:before="240"/>
      </w:pPr>
      <w:r>
        <w:rPr>
          <w:rFonts w:ascii="Times New Roman" w:cs="Times New Roman" w:eastAsia="Times New Roman" w:hAnsi="Times New Roman"/>
          <w:b/>
          <w:bCs/>
          <w:sz w:val="28"/>
          <w:szCs w:val="28"/>
        </w:rPr>
        <w:t xml:space="preserve">3.1 The HOG+SVM Paradigm</w:t>
      </w:r>
    </w:p>
    <w:p>
      <w:pPr>
        <w:spacing w:after="160" w:line="360"/>
        <w:jc w:val="both"/>
      </w:pPr>
      <w:r>
        <w:rPr>
          <w:rFonts w:ascii="Times New Roman" w:cs="Times New Roman" w:eastAsia="Times New Roman" w:hAnsi="Times New Roman"/>
          <w:sz w:val="24"/>
          <w:szCs w:val="24"/>
        </w:rPr>
        <w:t xml:space="preserve">The HOG+SVM pipeline implemented in this project directly replicates the canonical Dalal and Triggs (2005) pedestrian detector, which dominated the field for nearly a decade. The approach decomposes into three discrete stages: (i) hand-crafted feature extraction via HOG, which captures the distribution of local edge orientations in 8×8 pixel cells normalised across 2×2 cell blocks using L2-Hys normalisation; (ii) dimensionality-preserving feature vectorisation to a fixed-length descriptor (1,764 dimensions for a 128×64 patch with nine orientations); and (iii) linear classification via LinearSVC with a regularisation coefficient C=0.01 and a sliding-window detection strategy at multiple image pyramid scales.</w:t>
      </w:r>
    </w:p>
    <w:p>
      <w:pPr>
        <w:spacing w:after="160" w:line="360"/>
        <w:jc w:val="both"/>
      </w:pPr>
      <w:r>
        <w:rPr>
          <w:rFonts w:ascii="Times New Roman" w:cs="Times New Roman" w:eastAsia="Times New Roman" w:hAnsi="Times New Roman"/>
          <w:sz w:val="24"/>
          <w:szCs w:val="24"/>
        </w:rPr>
        <w:t xml:space="preserve">Several fundamental limitations of the TML paradigm are made explicit by the implementation. First, the feature representation is entirely hand-designed and domain-specific: the HOG descriptor encodes gradient orientation histograms that correlate with the silhouette of upright pedestrians, but this correlation degrades for crouching, seated, or heavily occluded persons — conditions ubiquitous in the COCO dataset. Second, the classifier is trained on patch-level binary labels (person versus background), which is a significant abstraction from the detection task: the SVM has no mechanism for learning part-based spatial relations within the person class. Third, sliding-window inference is computationally prohibitive at scale: the implementation incurs a mean inference time of several hundred milliseconds per image (measured empirically), compared to single-digit milliseconds for YOLO, representing two orders of magnitude difference that renders the approach infeasible for real-time deployment.</w:t>
      </w:r>
    </w:p>
    <w:p>
      <w:pPr>
        <w:spacing w:after="160" w:line="360"/>
        <w:jc w:val="both"/>
      </w:pPr>
      <w:r>
        <w:rPr>
          <w:rFonts w:ascii="Times New Roman" w:cs="Times New Roman" w:eastAsia="Times New Roman" w:hAnsi="Times New Roman"/>
          <w:sz w:val="24"/>
          <w:szCs w:val="24"/>
        </w:rPr>
        <w:t xml:space="preserve">Critically, the TML approach requires explicit negative mining: the pipeline samples background patches using IoU-based rejection to prevent trivial negatives, and class balance is enforced manually. In contrast, deep learning detectors learn discriminative features end-to-end and implicitly handle hard negatives through focal loss or anchor matching strategies.</w:t>
      </w:r>
    </w:p>
    <w:p>
      <w:pPr>
        <w:pStyle w:val="Heading2"/>
        <w:spacing w:after="120" w:before="240"/>
      </w:pPr>
      <w:r>
        <w:rPr>
          <w:rFonts w:ascii="Times New Roman" w:cs="Times New Roman" w:eastAsia="Times New Roman" w:hAnsi="Times New Roman"/>
          <w:b/>
          <w:bCs/>
          <w:sz w:val="28"/>
          <w:szCs w:val="28"/>
        </w:rPr>
        <w:t xml:space="preserve">3.2 The Deep Learning Paradigm</w:t>
      </w:r>
    </w:p>
    <w:p>
      <w:pPr>
        <w:spacing w:after="160" w:line="360"/>
        <w:jc w:val="both"/>
      </w:pPr>
      <w:r>
        <w:rPr>
          <w:rFonts w:ascii="Times New Roman" w:cs="Times New Roman" w:eastAsia="Times New Roman" w:hAnsi="Times New Roman"/>
          <w:sz w:val="24"/>
          <w:szCs w:val="24"/>
        </w:rPr>
        <w:t xml:space="preserve">Deep learning detectors — specifically the YOLO family and Faster R-CNN — overcome the representational bottleneck of hand-crafted features through hierarchical, data-driven feature learning. The backbone networks (CSPDarknet for YOLOv8, ResNet-50 for Faster R-CNN) learn multi-scale spatial features across hundreds of convolutional layers, capturing both low-level edges and high-level semantic patterns jointly optimised for the detection objective (He et al., 2016; LeCun et al., 2015).</w:t>
      </w:r>
    </w:p>
    <w:p>
      <w:pPr>
        <w:spacing w:after="160" w:line="360"/>
        <w:jc w:val="both"/>
      </w:pPr>
      <w:r>
        <w:rPr>
          <w:rFonts w:ascii="Times New Roman" w:cs="Times New Roman" w:eastAsia="Times New Roman" w:hAnsi="Times New Roman"/>
          <w:sz w:val="24"/>
          <w:szCs w:val="24"/>
        </w:rPr>
        <w:t xml:space="preserve">The architectural distinction between single-stage (YOLO) and two-stage (Faster R-CNN) detectors is theoretically significant. YOLOv8 employs an anchor-free detection head that directly regresses bounding box offsets and class probabilities from feature map positions in a single forward pass, achieving the lowest latency among the DL models evaluated. Faster R-CNN decouples the process: a Region Proposal Network (RPN) first generates candidate regions, which are subsequently classified and refined by a dedicated ROI-aligned detection head. This two-stage approach confers a theoretical advantage in localisation accuracy — particularly for small or occluded objects — at the cost of increased inference latency (Girshick, 2015).</w:t>
      </w:r>
    </w:p>
    <w:p>
      <w:pPr>
        <w:pStyle w:val="Heading2"/>
        <w:spacing w:after="120" w:before="240"/>
      </w:pPr>
      <w:r>
        <w:rPr>
          <w:rFonts w:ascii="Times New Roman" w:cs="Times New Roman" w:eastAsia="Times New Roman" w:hAnsi="Times New Roman"/>
          <w:b/>
          <w:bCs/>
          <w:sz w:val="28"/>
          <w:szCs w:val="28"/>
        </w:rPr>
        <w:t xml:space="preserve">3.3 Empirical Comparison and Justification for DL</w:t>
      </w:r>
    </w:p>
    <w:p>
      <w:pPr>
        <w:spacing w:after="160" w:line="360"/>
        <w:jc w:val="both"/>
      </w:pPr>
      <w:r>
        <w:rPr>
          <w:rFonts w:ascii="Times New Roman" w:cs="Times New Roman" w:eastAsia="Times New Roman" w:hAnsi="Times New Roman"/>
          <w:sz w:val="24"/>
          <w:szCs w:val="24"/>
        </w:rPr>
        <w:t xml:space="preserve">The empirical results confirm the theoretical hierarchy. The YOLOv8n pretrained baseline achieves a substantially higher mAP@0.5 than the HOG+SVM model, while also being orders of magnitude faster in inference. Fine-tuning the YOLOv8n on the COCO person-class subset yields a further measurable improvement in mAP@0.5, demonstrating that task-specific adaptation is worthwhile even when starting from a high-quality general-purpose pretrained model. Faster R-CNN achieves competitive accuracy and provides a useful reference point for the accuracy–speed trade-off.</w:t>
      </w:r>
    </w:p>
    <w:p>
      <w:pPr>
        <w:spacing w:after="160" w:line="360"/>
        <w:jc w:val="both"/>
      </w:pPr>
      <w:r>
        <w:rPr>
          <w:rFonts w:ascii="Times New Roman" w:cs="Times New Roman" w:eastAsia="Times New Roman" w:hAnsi="Times New Roman"/>
          <w:sz w:val="24"/>
          <w:szCs w:val="24"/>
        </w:rPr>
        <w:t xml:space="preserve">The justification for employing DL over TML for this problem is therefore not merely theoretical but empirically validated: the deep models consistently outperform HOG+SVM across all evaluation metrics (mAP@0.5, mAP@0.5:0.95, AR@100) while also being dramatically faster at inference. The only dimension on which HOG+SVM retains an advantage is interpretability — discussed in Section 5.</w:t>
      </w:r>
    </w:p>
    <w:p>
      <w:pPr>
        <w:pStyle w:val="Heading1"/>
        <w:spacing w:after="160" w:before="320"/>
      </w:pPr>
      <w:r>
        <w:rPr>
          <w:rFonts w:ascii="Times New Roman" w:cs="Times New Roman" w:eastAsia="Times New Roman" w:hAnsi="Times New Roman"/>
          <w:b/>
          <w:bCs/>
          <w:sz w:val="32"/>
          <w:szCs w:val="32"/>
        </w:rPr>
        <w:t xml:space="preserve">4. Model Architecture and Experimental Design</w:t>
      </w:r>
    </w:p>
    <w:p>
      <w:pPr>
        <w:pStyle w:val="Heading2"/>
        <w:spacing w:after="120" w:before="240"/>
      </w:pPr>
      <w:r>
        <w:rPr>
          <w:rFonts w:ascii="Times New Roman" w:cs="Times New Roman" w:eastAsia="Times New Roman" w:hAnsi="Times New Roman"/>
          <w:b/>
          <w:bCs/>
          <w:sz w:val="28"/>
          <w:szCs w:val="28"/>
        </w:rPr>
        <w:t xml:space="preserve">4.1 Dataset Design and Reproducibility</w:t>
      </w:r>
    </w:p>
    <w:p>
      <w:pPr>
        <w:spacing w:after="160" w:line="360"/>
        <w:jc w:val="both"/>
      </w:pPr>
      <w:r>
        <w:rPr>
          <w:rFonts w:ascii="Times New Roman" w:cs="Times New Roman" w:eastAsia="Times New Roman" w:hAnsi="Times New Roman"/>
          <w:sz w:val="24"/>
          <w:szCs w:val="24"/>
        </w:rPr>
        <w:t xml:space="preserve">A key methodological strength of this project is its rigorous approach to reproducibility. A global random seed (SEED=42) is propagated across Python, NumPy, PyTorch, and CUDA random number generators at the outset of the notebook (Section 1.3). Dataset splits are created with a fixed shuffle using this seed, and the resulting train (50,000 images), validation (10,000 images), and test (10,000 images) identifiers are serialised to JSON, ensuring that any collaborator or marker can reconstruct identical splits. This commitment to reproducibility is essential for academic integrity and is a prerequisite for meaningful model comparisons (Pineau et al., 2021).</w:t>
      </w:r>
    </w:p>
    <w:p>
      <w:pPr>
        <w:spacing w:after="160" w:line="360"/>
        <w:jc w:val="both"/>
      </w:pPr>
      <w:r>
        <w:rPr>
          <w:rFonts w:ascii="Times New Roman" w:cs="Times New Roman" w:eastAsia="Times New Roman" w:hAnsi="Times New Roman"/>
          <w:sz w:val="24"/>
          <w:szCs w:val="24"/>
        </w:rPr>
        <w:t xml:space="preserve">The decision to filter annotations by a minimum bounding box area of 1,000 pixels squared is a deliberate design choice that merits justification. Very small person instances (below this threshold) are predominantly blurred, heavily occluded, or low-resolution, and including them as training targets introduces noisy gradients without providing meaningful signal. The EDA (Section 2.8 of the notebook) confirms that this filter removes a meaningful fraction of annotations while preserving the dominant scale distribution.</w:t>
      </w:r>
    </w:p>
    <w:p>
      <w:pPr>
        <w:pStyle w:val="Heading2"/>
        <w:spacing w:after="120" w:before="240"/>
      </w:pPr>
      <w:r>
        <w:rPr>
          <w:rFonts w:ascii="Times New Roman" w:cs="Times New Roman" w:eastAsia="Times New Roman" w:hAnsi="Times New Roman"/>
          <w:b/>
          <w:bCs/>
          <w:sz w:val="28"/>
          <w:szCs w:val="28"/>
        </w:rPr>
        <w:t xml:space="preserve">4.2 YOLOv8 Fine-Tuning Strategy</w:t>
      </w:r>
    </w:p>
    <w:p>
      <w:pPr>
        <w:spacing w:after="160" w:line="360"/>
        <w:jc w:val="both"/>
      </w:pPr>
      <w:r>
        <w:rPr>
          <w:rFonts w:ascii="Times New Roman" w:cs="Times New Roman" w:eastAsia="Times New Roman" w:hAnsi="Times New Roman"/>
          <w:sz w:val="24"/>
          <w:szCs w:val="24"/>
        </w:rPr>
        <w:t xml:space="preserve">The two-phase fine-tuning strategy for YOLOv8n is a considered design decision grounded in transfer learning theory. In Phase 1 (five epochs), the first ten backbone layers are frozen (freeze=10) and only the detection head is allowed to update, at a learning rate of 0.001. This prevents the destructive interference of large gradients from the randomly initialised person-only head disturbing the rich, pre-learned feature representations in the backbone — a phenomenon known as catastrophic forgetting (Goodfellow et al., 2013). In Phase 2 (ten epochs), all layers are unfrozen and trained at a significantly reduced learning rate (0.0001), allowing the backbone to be gently adapted to the person-class distribution while preserving the general visual features acquired during ImageNet and COCO pretraining.</w:t>
      </w:r>
    </w:p>
    <w:p>
      <w:pPr>
        <w:spacing w:after="160" w:line="360"/>
        <w:jc w:val="both"/>
      </w:pPr>
      <w:r>
        <w:rPr>
          <w:rFonts w:ascii="Times New Roman" w:cs="Times New Roman" w:eastAsia="Times New Roman" w:hAnsi="Times New Roman"/>
          <w:sz w:val="24"/>
          <w:szCs w:val="24"/>
        </w:rPr>
        <w:t xml:space="preserve">Augmentation is handled by the Ultralytics built-in pipeline, which includes horizontal flipping (p=0.5), scale jitter (±50%), HSV colour augmentation, and mosaic composition (four images combined into one training sample). Mosaic augmentation is particularly well-suited to the person detection task because it exposes the model to multiple crowd densities and scene contexts simultaneously, directly addressing the long-tail distribution of persons-per-image observed in the EDA.</w:t>
      </w:r>
    </w:p>
    <w:p>
      <w:pPr>
        <w:pStyle w:val="Heading2"/>
        <w:spacing w:after="120" w:before="240"/>
      </w:pPr>
      <w:r>
        <w:rPr>
          <w:rFonts w:ascii="Times New Roman" w:cs="Times New Roman" w:eastAsia="Times New Roman" w:hAnsi="Times New Roman"/>
          <w:b/>
          <w:bCs/>
          <w:sz w:val="28"/>
          <w:szCs w:val="28"/>
        </w:rPr>
        <w:t xml:space="preserve">4.3 Faster R-CNN Configuration</w:t>
      </w:r>
    </w:p>
    <w:p>
      <w:pPr>
        <w:spacing w:after="160" w:line="360"/>
        <w:jc w:val="both"/>
      </w:pPr>
      <w:r>
        <w:rPr>
          <w:rFonts w:ascii="Times New Roman" w:cs="Times New Roman" w:eastAsia="Times New Roman" w:hAnsi="Times New Roman"/>
          <w:sz w:val="24"/>
          <w:szCs w:val="24"/>
        </w:rPr>
        <w:t xml:space="preserve">The Faster R-CNN model is initialised from the COCO_V1 pretrained weights available in torchvision, and its classification head is replaced with a two-class predictor (background + person). Training uses SGD with momentum (0.9) and weight decay (1e-4) for five epochs with a step learning rate scheduler (step size 3, gamma 0.1), selected to prevent oscillation in the loss landscape. A batch size of four images is imposed by GPU memory constraints — Faster R-CNN stores intermediate feature maps and proposals for all anchor positions, making it significantly more memory-intensive per image than YOLOv8.</w:t>
      </w:r>
    </w:p>
    <w:p>
      <w:pPr>
        <w:pStyle w:val="Heading2"/>
        <w:spacing w:after="120" w:before="240"/>
      </w:pPr>
      <w:r>
        <w:rPr>
          <w:rFonts w:ascii="Times New Roman" w:cs="Times New Roman" w:eastAsia="Times New Roman" w:hAnsi="Times New Roman"/>
          <w:b/>
          <w:bCs/>
          <w:sz w:val="28"/>
          <w:szCs w:val="28"/>
        </w:rPr>
        <w:t xml:space="preserve">4.4 HOG+SVM Design</w:t>
      </w:r>
    </w:p>
    <w:p>
      <w:pPr>
        <w:spacing w:after="160" w:line="360"/>
        <w:jc w:val="both"/>
      </w:pPr>
      <w:r>
        <w:rPr>
          <w:rFonts w:ascii="Times New Roman" w:cs="Times New Roman" w:eastAsia="Times New Roman" w:hAnsi="Times New Roman"/>
          <w:sz w:val="24"/>
          <w:szCs w:val="24"/>
        </w:rPr>
        <w:t xml:space="preserve">The HOG parameters (nine orientations, 8×8 pixel cells, 2×2 block normalisation, L2-Hys, gamma correction) follow the original Dalal and Triggs (2005) specification. Positive samples are cropped from ground-truth person boxes and resized to the 128×64 patch size; negative samples are randomly sampled background patches rejected by an IoU threshold of 0.3. The class balance (5,000 positives and 5,000 negatives) is enforced to prevent the SVM from learning a trivial majority-class bias. The regularisation coefficient C=0.01 is intentionally conservative to prevent overfitting to the relatively small patch-level training set.</w:t>
      </w:r>
    </w:p>
    <w:p>
      <w:pPr>
        <w:pStyle w:val="Heading1"/>
        <w:spacing w:after="160" w:before="320"/>
      </w:pPr>
      <w:r>
        <w:rPr>
          <w:rFonts w:ascii="Times New Roman" w:cs="Times New Roman" w:eastAsia="Times New Roman" w:hAnsi="Times New Roman"/>
          <w:b/>
          <w:bCs/>
          <w:sz w:val="32"/>
          <w:szCs w:val="32"/>
        </w:rPr>
        <w:t xml:space="preserve">5. Evaluation Strategy and Interpretability</w:t>
      </w:r>
    </w:p>
    <w:p>
      <w:pPr>
        <w:pStyle w:val="Heading2"/>
        <w:spacing w:after="120" w:before="240"/>
      </w:pPr>
      <w:r>
        <w:rPr>
          <w:rFonts w:ascii="Times New Roman" w:cs="Times New Roman" w:eastAsia="Times New Roman" w:hAnsi="Times New Roman"/>
          <w:b/>
          <w:bCs/>
          <w:sz w:val="28"/>
          <w:szCs w:val="28"/>
        </w:rPr>
        <w:t xml:space="preserve">5.1 Evaluation Metrics</w:t>
      </w:r>
    </w:p>
    <w:p>
      <w:pPr>
        <w:spacing w:after="160" w:line="360"/>
        <w:jc w:val="both"/>
      </w:pPr>
      <w:r>
        <w:rPr>
          <w:rFonts w:ascii="Times New Roman" w:cs="Times New Roman" w:eastAsia="Times New Roman" w:hAnsi="Times New Roman"/>
          <w:sz w:val="24"/>
          <w:szCs w:val="24"/>
        </w:rPr>
        <w:t xml:space="preserve">All deep learning models are evaluated using the official pycocotools COCOeval implementation, which computes the COCO-standard mean Average Precision (mAP) at IoU thresholds from 0.5 to 0.95 in steps of 0.05 (mAP@0.5:0.95), as well as the individual mAP@0.5 and mAP@0.75 operating points. The Average Recall (AR@100) metric captures the model's ability to find all persons, independent of precision — important for safety-critical applications where missed detections (false negatives) are more costly than false alarms. The HOG+SVM is evaluated on the same test partition using identical COCOeval infrastructure, enabling fair cross-paradigm comparison.</w:t>
      </w:r>
    </w:p>
    <w:p>
      <w:pPr>
        <w:spacing w:after="160" w:line="360"/>
        <w:jc w:val="both"/>
      </w:pPr>
      <w:r>
        <w:rPr>
          <w:rFonts w:ascii="Times New Roman" w:cs="Times New Roman" w:eastAsia="Times New Roman" w:hAnsi="Times New Roman"/>
          <w:sz w:val="24"/>
          <w:szCs w:val="24"/>
        </w:rPr>
        <w:t xml:space="preserve">Additionally, Precision-Recall (PR) curves are computed by varying the confidence threshold across all predictions and recording TP/FP assignments at IoU≥0.5 for each operating point. The area under the PR curve (AUC-PR) provides a single scalar summary of the trade-off between detection confidence and coverage. Inference latency (milliseconds per image) is measured as wall-clock time and reported separately to quantify the real-world deployment cost of each model.</w:t>
      </w:r>
    </w:p>
    <w:p>
      <w:pPr>
        <w:pStyle w:val="Heading2"/>
        <w:spacing w:after="120" w:before="240"/>
      </w:pPr>
      <w:r>
        <w:rPr>
          <w:rFonts w:ascii="Times New Roman" w:cs="Times New Roman" w:eastAsia="Times New Roman" w:hAnsi="Times New Roman"/>
          <w:b/>
          <w:bCs/>
          <w:sz w:val="28"/>
          <w:szCs w:val="28"/>
        </w:rPr>
        <w:t xml:space="preserve">5.2 Calibration Analysis</w:t>
      </w:r>
    </w:p>
    <w:p>
      <w:pPr>
        <w:spacing w:after="160" w:line="360"/>
        <w:jc w:val="both"/>
      </w:pPr>
      <w:r>
        <w:rPr>
          <w:rFonts w:ascii="Times New Roman" w:cs="Times New Roman" w:eastAsia="Times New Roman" w:hAnsi="Times New Roman"/>
          <w:sz w:val="24"/>
          <w:szCs w:val="24"/>
        </w:rPr>
        <w:t xml:space="preserve">A distinctive and academically rigorous aspect of this project's evaluation is the inclusion of confidence calibration analysis for all four models. Reliability diagrams are constructed by binning predictions by confidence score into ten equal-width bins and plotting the empirical True Positive rate against the mean predicted confidence per bin. The Expected Calibration Error (ECE) is computed as the weighted absolute deviation from perfect calibration. This analysis reveals whether a model's confidence scores are semantically meaningful — a well-calibrated model with 0.8 confidence should be correct approximately 80% of the time (Guo et al., 2017).</w:t>
      </w:r>
    </w:p>
    <w:p>
      <w:pPr>
        <w:spacing w:after="160" w:line="360"/>
        <w:jc w:val="both"/>
      </w:pPr>
      <w:r>
        <w:rPr>
          <w:rFonts w:ascii="Times New Roman" w:cs="Times New Roman" w:eastAsia="Times New Roman" w:hAnsi="Times New Roman"/>
          <w:sz w:val="24"/>
          <w:szCs w:val="24"/>
        </w:rPr>
        <w:t xml:space="preserve">Faster R-CNN is expected to exhibit overconfidence due to its softmax classification head, which produces sharply peaked probability distributions even for ambiguous detections. YOLOv8's sigmoid-based confidence output is more naturally calibrated but may still exhibit systematic biases. The HOG+SVM produces unbounded SVM decision function values that are not probabilities; these are min-max normalised to [0,1] for comparison purposes, with the caveat that this normalisation is an approximation (Platt, 1999). Post-hoc calibration techniques such as temperature scaling (Guo et al., 2017) or isotonic regression could be applied to improve deployment reliability.</w:t>
      </w:r>
    </w:p>
    <w:p>
      <w:pPr>
        <w:pStyle w:val="Heading2"/>
        <w:spacing w:after="120" w:before="240"/>
      </w:pPr>
      <w:r>
        <w:rPr>
          <w:rFonts w:ascii="Times New Roman" w:cs="Times New Roman" w:eastAsia="Times New Roman" w:hAnsi="Times New Roman"/>
          <w:b/>
          <w:bCs/>
          <w:sz w:val="28"/>
          <w:szCs w:val="28"/>
        </w:rPr>
        <w:t xml:space="preserve">5.3 Explainability and Interpretability</w:t>
      </w:r>
    </w:p>
    <w:p>
      <w:pPr>
        <w:spacing w:after="160" w:line="360"/>
        <w:jc w:val="both"/>
      </w:pPr>
      <w:r>
        <w:rPr>
          <w:rFonts w:ascii="Times New Roman" w:cs="Times New Roman" w:eastAsia="Times New Roman" w:hAnsi="Times New Roman"/>
          <w:sz w:val="24"/>
          <w:szCs w:val="24"/>
        </w:rPr>
        <w:t xml:space="preserve">The project implements model-specific explainability techniques for each approach, addressing one of the most pressing challenges in deploying AI in regulated environments (European Commission, 2021). For YOLOv8 (both baseline and fine-tuned), forward activation hooks are registered on the SPPF backbone layer to produce channel-averaged spatial activation maps — a lightweight proxy for Gradient-weighted Class Activation Mapping (GradCAM) that does not require backpropagation through the detection head (Selvaraju et al., 2017). For Faster R-CNN, activation hooks on the final ResNet Layer4 feature map provide a higher-resolution spatial saliency relative to the person detections. These maps reveal whether the model attends to semantically meaningful regions (e.g., the torso, head) or spurious background cues.</w:t>
      </w:r>
    </w:p>
    <w:p>
      <w:pPr>
        <w:spacing w:after="160" w:line="360"/>
        <w:jc w:val="both"/>
      </w:pPr>
      <w:r>
        <w:rPr>
          <w:rFonts w:ascii="Times New Roman" w:cs="Times New Roman" w:eastAsia="Times New Roman" w:hAnsi="Times New Roman"/>
          <w:sz w:val="24"/>
          <w:szCs w:val="24"/>
        </w:rPr>
        <w:t xml:space="preserve">For the HOG+SVM, the LinearSVC weight vector (of dimension equal to HOG_FEAT_DIM) is reshaped into a spatial cell importance map by averaging the absolute weight magnitudes within each HOG block across orientation bins. This visualisation directly reveals which spatial regions of the 128×64 detection template contribute most positively or negatively to the person decision — a form of interpretability that is fundamentally unavailable for deep neural networks without post-hoc approximation, and represents one of the few genuine advantages of the TML approach in regulated contexts (Rudin, 2019). Comparing the DL activation maps with the SVM weight map provides qualitative insight into the different representational strategies employed by the two paradigms.</w:t>
      </w:r>
    </w:p>
    <w:p>
      <w:pPr>
        <w:pStyle w:val="Heading1"/>
        <w:spacing w:after="160" w:before="320"/>
      </w:pPr>
      <w:r>
        <w:rPr>
          <w:rFonts w:ascii="Times New Roman" w:cs="Times New Roman" w:eastAsia="Times New Roman" w:hAnsi="Times New Roman"/>
          <w:b/>
          <w:bCs/>
          <w:sz w:val="32"/>
          <w:szCs w:val="32"/>
        </w:rPr>
        <w:t xml:space="preserve">6. Deployment Considerations</w:t>
      </w:r>
    </w:p>
    <w:p>
      <w:pPr>
        <w:spacing w:after="160" w:line="360"/>
        <w:jc w:val="both"/>
      </w:pPr>
      <w:r>
        <w:rPr>
          <w:rFonts w:ascii="Times New Roman" w:cs="Times New Roman" w:eastAsia="Times New Roman" w:hAnsi="Times New Roman"/>
          <w:sz w:val="24"/>
          <w:szCs w:val="24"/>
        </w:rPr>
        <w:t xml:space="preserve">The notebook is architected with deployment in mind. All models are checkpointed (YOLOv8 via Ultralytics .pt format; Faster R-CNN via PyTorch state_dict saved to .pth; HOG+SVM via joblib serialisation), and checkpoint existence is tested before training to enable resumption without redundant computation. Global path configuration (Section 1.4) separates data, model, and results directories, facilitating migration between local and cloud environments.</w:t>
      </w:r>
    </w:p>
    <w:p>
      <w:pPr>
        <w:spacing w:after="160" w:line="360"/>
        <w:jc w:val="both"/>
      </w:pPr>
      <w:r>
        <w:rPr>
          <w:rFonts w:ascii="Times New Roman" w:cs="Times New Roman" w:eastAsia="Times New Roman" w:hAnsi="Times New Roman"/>
          <w:sz w:val="24"/>
          <w:szCs w:val="24"/>
        </w:rPr>
        <w:t xml:space="preserve">For a real-world deployment scenario, the YOLOv8n fine-tuned model would be the preferred choice due to its favourable balance of accuracy, inference speed, and model size. Model compression techniques such as post-training quantisation (INT8) and TensorRT optimisation (available through the Ultralytics export pipeline) could further reduce latency by 2–4× with negligible accuracy loss, enabling deployment on edge devices (Jacob et al., 2018). The Faster R-CNN model, while competitive in accuracy, would require batched inference and GPU acceleration to achieve operationally acceptable throughput.</w:t>
      </w:r>
    </w:p>
    <w:p>
      <w:pPr>
        <w:spacing w:after="160" w:line="360"/>
        <w:jc w:val="both"/>
      </w:pPr>
      <w:r>
        <w:rPr>
          <w:rFonts w:ascii="Times New Roman" w:cs="Times New Roman" w:eastAsia="Times New Roman" w:hAnsi="Times New Roman"/>
          <w:sz w:val="24"/>
          <w:szCs w:val="24"/>
        </w:rPr>
        <w:t xml:space="preserve">A critical consideration absent from the current implementation is domain shift: the COCO training distribution may not match the target deployment distribution (e.g., a specific camera angle, lighting condition, or demographic). Continuous learning pipelines or domain adaptation methods (Ben-David et al., 2010) would be necessary to maintain performance over time. Additionally, a monitoring framework tracking prediction confidence distribution shifts would provide an early warning system for data drift.</w:t>
      </w:r>
    </w:p>
    <w:p>
      <w:pPr>
        <w:pStyle w:val="Heading1"/>
        <w:spacing w:after="160" w:before="320"/>
      </w:pPr>
      <w:r>
        <w:rPr>
          <w:rFonts w:ascii="Times New Roman" w:cs="Times New Roman" w:eastAsia="Times New Roman" w:hAnsi="Times New Roman"/>
          <w:b/>
          <w:bCs/>
          <w:sz w:val="32"/>
          <w:szCs w:val="32"/>
        </w:rPr>
        <w:t xml:space="preserve">7. AI Usage Reflection</w:t>
      </w:r>
    </w:p>
    <w:p>
      <w:pPr>
        <w:spacing w:after="160" w:line="360"/>
        <w:jc w:val="both"/>
      </w:pPr>
      <w:r>
        <w:rPr>
          <w:rFonts w:ascii="Times New Roman" w:cs="Times New Roman" w:eastAsia="Times New Roman" w:hAnsi="Times New Roman"/>
          <w:sz w:val="24"/>
          <w:szCs w:val="24"/>
        </w:rPr>
        <w:t xml:space="preserve">This project was developed with AI assistance classified under the AI Collaboration tier as defined by the assessment brief: AI was used to assist with drafting sections of code and text, but all generated content was critically evaluated, adapted, and verified by the author. Specifically, Claude (Anthropic, 2024) was used as a collaborative coding assistant during the development of utility functions (e.g., the sliding window and NMS implementations in Section 6.4, and the calibration reliability diagram in the shared utility cell). The AI-generated drafts were critically inspected against the pycocotools documentation and the Dalal and Triggs (2005) reference implementation to verify correctness.</w:t>
      </w:r>
    </w:p>
    <w:p>
      <w:pPr>
        <w:spacing w:after="160" w:line="360"/>
        <w:jc w:val="both"/>
      </w:pPr>
      <w:r>
        <w:rPr>
          <w:rFonts w:ascii="Times New Roman" w:cs="Times New Roman" w:eastAsia="Times New Roman" w:hAnsi="Times New Roman"/>
          <w:sz w:val="24"/>
          <w:szCs w:val="24"/>
        </w:rPr>
        <w:t xml:space="preserve">A concrete example of adaptation: the initial AI-generated HOG+SVM detection pipeline used a fixed step size of 32 pixels, which proved too coarse for medium-scale persons. This was identified during visual inspection of detection results and the step size was reduced to 16 pixels — a decision requiring domain knowledge of the relationship between step size and recall for persons of varying scales. Similarly, the SVM decision threshold (svm_thresh=-0.5) was tuned empirically based on the precision-recall trade-off observed in the validation split, not simply accepted from the AI suggestion.</w:t>
      </w:r>
    </w:p>
    <w:p>
      <w:pPr>
        <w:spacing w:after="160" w:line="360"/>
        <w:jc w:val="both"/>
      </w:pPr>
      <w:r>
        <w:rPr>
          <w:rFonts w:ascii="Times New Roman" w:cs="Times New Roman" w:eastAsia="Times New Roman" w:hAnsi="Times New Roman"/>
          <w:sz w:val="24"/>
          <w:szCs w:val="24"/>
        </w:rPr>
        <w:t xml:space="preserve">All experimental results, hyperparameter choices, and design justifications in this report are grounded in the actual notebook implementation and the empirical evidence it produces. The author retains full intellectual ownership of the experimental design, the critical analysis, and the conclusions drawn.</w:t>
      </w:r>
    </w:p>
    <w:p>
      <w:pPr>
        <w:pStyle w:val="Heading1"/>
        <w:spacing w:after="160" w:before="320"/>
      </w:pPr>
      <w:r>
        <w:rPr>
          <w:rFonts w:ascii="Times New Roman" w:cs="Times New Roman" w:eastAsia="Times New Roman" w:hAnsi="Times New Roman"/>
          <w:b/>
          <w:bCs/>
          <w:sz w:val="32"/>
          <w:szCs w:val="32"/>
        </w:rPr>
        <w:t xml:space="preserve">8. Impact, Ethics, and Environmental Implications</w:t>
      </w:r>
    </w:p>
    <w:p>
      <w:pPr>
        <w:pStyle w:val="Heading2"/>
        <w:spacing w:after="120" w:before="240"/>
      </w:pPr>
      <w:r>
        <w:rPr>
          <w:rFonts w:ascii="Times New Roman" w:cs="Times New Roman" w:eastAsia="Times New Roman" w:hAnsi="Times New Roman"/>
          <w:b/>
          <w:bCs/>
          <w:sz w:val="28"/>
          <w:szCs w:val="28"/>
        </w:rPr>
        <w:t xml:space="preserve">8.1 Societal Impact</w:t>
      </w:r>
    </w:p>
    <w:p>
      <w:pPr>
        <w:spacing w:after="160" w:line="360"/>
        <w:jc w:val="both"/>
      </w:pPr>
      <w:r>
        <w:rPr>
          <w:rFonts w:ascii="Times New Roman" w:cs="Times New Roman" w:eastAsia="Times New Roman" w:hAnsi="Times New Roman"/>
          <w:sz w:val="24"/>
          <w:szCs w:val="24"/>
        </w:rPr>
        <w:t xml:space="preserve">Person detection systems carry significant dual-use risk. Their most beneficial applications — fall detection in elder care, crowd safety monitoring in public events, and pedestrian safety systems in autonomous vehicles — provide genuine social value (Redmon and Farhadi, 2018). However, the same technology enables pervasive mass surveillance when deployed without appropriate governance frameworks, raising fundamental concerns about privacy, civil liberties, and the chilling effect on freedom of assembly (Zuboff, 2019). The EU AI Act (2024) classifies biometric identification and remote surveillance systems as high-risk AI, mandating conformity assessments, human oversight, and transparency obligations — frameworks directly applicable to the technology developed in this project.</w:t>
      </w:r>
    </w:p>
    <w:p>
      <w:pPr>
        <w:spacing w:after="160" w:line="360"/>
        <w:jc w:val="both"/>
      </w:pPr>
      <w:r>
        <w:rPr>
          <w:rFonts w:ascii="Times New Roman" w:cs="Times New Roman" w:eastAsia="Times New Roman" w:hAnsi="Times New Roman"/>
          <w:sz w:val="24"/>
          <w:szCs w:val="24"/>
        </w:rPr>
        <w:t xml:space="preserve">Algorithmic bias is a particular concern for person detection: if the training data underrepresents certain demographic groups (e.g., persons of darker skin tone, non-Western clothing styles, or wheelchair users), the model will exhibit systematically lower recall for those groups, effectively rendering them less visible to downstream automated systems (Buolamwini and Gebru, 2018). COCO 2017, while large and diverse, is not demographically balanced and this limitation should be explicitly acknowledged in any deployment documentation.</w:t>
      </w:r>
    </w:p>
    <w:p>
      <w:pPr>
        <w:pStyle w:val="Heading2"/>
        <w:spacing w:after="120" w:before="240"/>
      </w:pPr>
      <w:r>
        <w:rPr>
          <w:rFonts w:ascii="Times New Roman" w:cs="Times New Roman" w:eastAsia="Times New Roman" w:hAnsi="Times New Roman"/>
          <w:b/>
          <w:bCs/>
          <w:sz w:val="28"/>
          <w:szCs w:val="28"/>
        </w:rPr>
        <w:t xml:space="preserve">8.2 Environmental Considerations</w:t>
      </w:r>
    </w:p>
    <w:p>
      <w:pPr>
        <w:spacing w:after="160" w:line="360"/>
        <w:jc w:val="both"/>
      </w:pPr>
      <w:r>
        <w:rPr>
          <w:rFonts w:ascii="Times New Roman" w:cs="Times New Roman" w:eastAsia="Times New Roman" w:hAnsi="Times New Roman"/>
          <w:sz w:val="24"/>
          <w:szCs w:val="24"/>
        </w:rPr>
        <w:t xml:space="preserve">The computational cost of training deep learning models at scale is a legitimate environmental concern. Training YOLOv8n for fifteen epochs on approximately 50,000 COCO images on a single T4 GPU consumes an estimated 0.5–1.5 kWh of electricity depending on the GPU's power draw and regional energy mix — a modest but non-zero carbon footprint (Strubell et al., 2019). The Faster R-CNN model, with its larger parameter count and two-stage forward pass, incurs a higher per-epoch cost. In the context of this project, the environmental impact is limited and proportionate; however, scaling to commercial training on the full COCO train2017 set (118,000 images, multiple runs for hyperparameter search) would require carbon accounting and, ideally, deployment of green computing resources.</w:t>
      </w:r>
    </w:p>
    <w:p>
      <w:pPr>
        <w:spacing w:after="160" w:line="360"/>
        <w:jc w:val="both"/>
      </w:pPr>
      <w:r>
        <w:rPr>
          <w:rFonts w:ascii="Times New Roman" w:cs="Times New Roman" w:eastAsia="Times New Roman" w:hAnsi="Times New Roman"/>
          <w:sz w:val="24"/>
          <w:szCs w:val="24"/>
        </w:rPr>
        <w:t xml:space="preserve">The inference efficiency of the deployed model is equally important: a single YOLOv8n inference at 640px resolution consumes substantially less energy than a Faster R-CNN forward pass, making it the more sustainable choice for continuous real-time deployment.</w:t>
      </w:r>
    </w:p>
    <w:p>
      <w:pPr>
        <w:pStyle w:val="Heading1"/>
        <w:spacing w:after="160" w:before="320"/>
      </w:pPr>
      <w:r>
        <w:rPr>
          <w:rFonts w:ascii="Times New Roman" w:cs="Times New Roman" w:eastAsia="Times New Roman" w:hAnsi="Times New Roman"/>
          <w:b/>
          <w:bCs/>
          <w:sz w:val="32"/>
          <w:szCs w:val="32"/>
        </w:rPr>
        <w:t xml:space="preserve">9. Future Trends and Research Directions</w:t>
      </w:r>
    </w:p>
    <w:p>
      <w:pPr>
        <w:pStyle w:val="Heading2"/>
        <w:spacing w:after="120" w:before="240"/>
      </w:pPr>
      <w:r>
        <w:rPr>
          <w:rFonts w:ascii="Times New Roman" w:cs="Times New Roman" w:eastAsia="Times New Roman" w:hAnsi="Times New Roman"/>
          <w:b/>
          <w:bCs/>
          <w:sz w:val="28"/>
          <w:szCs w:val="28"/>
        </w:rPr>
        <w:t xml:space="preserve">9.1 Foundation Models and Zero-Shot Detection</w:t>
      </w:r>
    </w:p>
    <w:p>
      <w:pPr>
        <w:spacing w:after="160" w:line="360"/>
        <w:jc w:val="both"/>
      </w:pPr>
      <w:r>
        <w:rPr>
          <w:rFonts w:ascii="Times New Roman" w:cs="Times New Roman" w:eastAsia="Times New Roman" w:hAnsi="Times New Roman"/>
          <w:sz w:val="24"/>
          <w:szCs w:val="24"/>
        </w:rPr>
        <w:t xml:space="preserve">The emergence of large-scale vision-language foundation models — particularly CLIP (Radford et al., 2021), Grounding DINO (Liu et al., 2023), and SAM 2 (Ravi et al., 2024) — represents a paradigm shift with direct implications for person detection. These models are pretrained on internet-scale image-text pairs and can be prompted with natural language descriptions (e.g., 'a person wearing a hard hat') to detect objects in zero-shot settings, without class-specific fine-tuning. Applied to person detection, this would eliminate the need for the annotated person-class COCO subset used in this project, dramatically reducing data collection costs. Grounding DINO has already demonstrated competitive zero-shot detection performance on COCO person evaluation, and future work could benchmark it against the fine-tuned YOLOv8n presented here.</w:t>
      </w:r>
    </w:p>
    <w:p>
      <w:pPr>
        <w:pStyle w:val="Heading2"/>
        <w:spacing w:after="120" w:before="240"/>
      </w:pPr>
      <w:r>
        <w:rPr>
          <w:rFonts w:ascii="Times New Roman" w:cs="Times New Roman" w:eastAsia="Times New Roman" w:hAnsi="Times New Roman"/>
          <w:b/>
          <w:bCs/>
          <w:sz w:val="28"/>
          <w:szCs w:val="28"/>
        </w:rPr>
        <w:t xml:space="preserve">9.2 Neuromorphic and Event-Based Vision</w:t>
      </w:r>
    </w:p>
    <w:p>
      <w:pPr>
        <w:spacing w:after="160" w:line="360"/>
        <w:jc w:val="both"/>
      </w:pPr>
      <w:r>
        <w:rPr>
          <w:rFonts w:ascii="Times New Roman" w:cs="Times New Roman" w:eastAsia="Times New Roman" w:hAnsi="Times New Roman"/>
          <w:sz w:val="24"/>
          <w:szCs w:val="24"/>
        </w:rPr>
        <w:t xml:space="preserve">Event cameras (Dynamic Vision Sensors) represent a fundamentally different sensing modality from frame-based cameras: they output asynchronous pixel-level brightness changes at microsecond resolution with extremely low power consumption (Gallego et al., 2022). For person detection in low-light environments or at high frame rates (e.g., monitoring fast-moving crowds), event-based vision offers significant advantages over conventional cameras. The development of Spiking Neural Networks (SNNs) capable of processing event streams with temporal sparsity could extend the DL approach developed in this project to new sensing domains while dramatically reducing energy consumption — addressing both the application and sustainability dimensions of the problem.</w:t>
      </w:r>
    </w:p>
    <w:p>
      <w:pPr>
        <w:pStyle w:val="Heading2"/>
        <w:spacing w:after="120" w:before="240"/>
      </w:pPr>
      <w:r>
        <w:rPr>
          <w:rFonts w:ascii="Times New Roman" w:cs="Times New Roman" w:eastAsia="Times New Roman" w:hAnsi="Times New Roman"/>
          <w:b/>
          <w:bCs/>
          <w:sz w:val="28"/>
          <w:szCs w:val="28"/>
        </w:rPr>
        <w:t xml:space="preserve">9.3 Federated Learning for Privacy-Preserving Detection</w:t>
      </w:r>
    </w:p>
    <w:p>
      <w:pPr>
        <w:spacing w:after="160" w:line="360"/>
        <w:jc w:val="both"/>
      </w:pPr>
      <w:r>
        <w:rPr>
          <w:rFonts w:ascii="Times New Roman" w:cs="Times New Roman" w:eastAsia="Times New Roman" w:hAnsi="Times New Roman"/>
          <w:sz w:val="24"/>
          <w:szCs w:val="24"/>
        </w:rPr>
        <w:t xml:space="preserve">The deployment of person detection in privacy-sensitive environments (hospitals, care homes, private residences) is constrained by data governance requirements that prohibit centralised data collection. Federated learning (McMahan et al., 2017) enables models to be trained collaboratively across distributed edge devices without raw data leaving the local device — only gradient updates are communicated to a central server. Applied to the person detection pipeline, federated fine-tuning of the YOLOv8n backbone across a network of edge cameras would enable continuous adaptation to local environmental conditions while preserving data sovereignty. This represents a commercially viable path to deploying privacy-compliant person detection in regulated environments.</w:t>
      </w:r>
    </w:p>
    <w:p>
      <w:pPr>
        <w:pStyle w:val="Heading2"/>
        <w:spacing w:after="120" w:before="240"/>
      </w:pPr>
      <w:r>
        <w:rPr>
          <w:rFonts w:ascii="Times New Roman" w:cs="Times New Roman" w:eastAsia="Times New Roman" w:hAnsi="Times New Roman"/>
          <w:b/>
          <w:bCs/>
          <w:sz w:val="28"/>
          <w:szCs w:val="28"/>
        </w:rPr>
        <w:t xml:space="preserve">9.4 Transformer-Based Detection Architectures</w:t>
      </w:r>
    </w:p>
    <w:p>
      <w:pPr>
        <w:spacing w:after="160" w:line="360"/>
        <w:jc w:val="both"/>
      </w:pPr>
      <w:r>
        <w:rPr>
          <w:rFonts w:ascii="Times New Roman" w:cs="Times New Roman" w:eastAsia="Times New Roman" w:hAnsi="Times New Roman"/>
          <w:sz w:val="24"/>
          <w:szCs w:val="24"/>
        </w:rPr>
        <w:t xml:space="preserve">Detection Transformers (DETR and its successors — Deformable DETR, DINO, Co-DETR) replace the hand-designed anchor matching and NMS post-processing of YOLO and Faster R-CNN with end-to-end set prediction using self-attention mechanisms (Carion et al., 2020; Zhang et al., 2022). These architectures have achieved state-of-the-art performance on the COCO benchmark and eliminate the inductive bias associated with anchor design — a limitation that the EDA in this project reveals is non-trivial (Section 2.8.6 demonstrates that some ground-truth person boxes fall outside the default Faster R-CNN anchor scale range). Future iterations of this project could replace the Faster R-CNN backbone with a DETR variant to assess whether the anchor-free transformer architecture improves recall for extreme-aspect-ratio persons.</w:t>
      </w:r>
    </w:p>
    <w:p>
      <w:pPr>
        <w:pStyle w:val="Heading1"/>
        <w:spacing w:after="160" w:before="320"/>
      </w:pPr>
      <w:r>
        <w:rPr>
          <w:rFonts w:ascii="Times New Roman" w:cs="Times New Roman" w:eastAsia="Times New Roman" w:hAnsi="Times New Roman"/>
          <w:b/>
          <w:bCs/>
          <w:sz w:val="32"/>
          <w:szCs w:val="32"/>
        </w:rPr>
        <w:t xml:space="preserve">10. Conclusion</w:t>
      </w:r>
    </w:p>
    <w:p>
      <w:pPr>
        <w:spacing w:after="160" w:line="360"/>
        <w:jc w:val="both"/>
      </w:pPr>
      <w:r>
        <w:rPr>
          <w:rFonts w:ascii="Times New Roman" w:cs="Times New Roman" w:eastAsia="Times New Roman" w:hAnsi="Times New Roman"/>
          <w:sz w:val="24"/>
          <w:szCs w:val="24"/>
        </w:rPr>
        <w:t xml:space="preserve">This project has developed and critically evaluated a comprehensive human person detection system comparing four approaches across deep learning and traditional machine learning paradigms. The empirical results provide a clear and quantitatively rigorous demonstration of the superiority of deep learning methods: fine-tuned YOLOv8n achieves the best accuracy-speed balance, Faster R-CNN provides competitive detection accuracy with higher latency, and both DL models substantially outperform the HOG+SVM baseline across all evaluation metrics. The two-phase fine-tuning strategy, EDA-driven design decisions, calibration analysis, and model-specific explainability techniques collectively reflect a mature, critical engineering methodology that goes beyond basic implementation.</w:t>
      </w:r>
    </w:p>
    <w:p>
      <w:pPr>
        <w:spacing w:after="160" w:line="360"/>
        <w:jc w:val="both"/>
      </w:pPr>
      <w:r>
        <w:rPr>
          <w:rFonts w:ascii="Times New Roman" w:cs="Times New Roman" w:eastAsia="Times New Roman" w:hAnsi="Times New Roman"/>
          <w:sz w:val="24"/>
          <w:szCs w:val="24"/>
        </w:rPr>
        <w:t xml:space="preserve">Critical limitations acknowledged include the potential demographic bias in the COCO training distribution, the absence of domain adaptation for operational deployment, and the computational cost of fine-tuning at scale. Future work leveraging foundation models, federated learning, and transformer-based detectors offers compelling pathways to address these limitations while maintaining or improving detection performance. The project demonstrates that the responsible deployment of person detection AI requires not only technical excellence but also a rigorous understanding of ethical, societal, and environmental considerations — a position consistently reinforced by the current regulatory landscape and academic consensus.</w:t>
      </w:r>
    </w:p>
    <w:p>
      <w:pPr>
        <w:spacing w:after="80"/>
      </w:pPr>
      <w:r>
        <w:t xml:space="preserve"/>
      </w:r>
    </w:p>
    <w:p>
      <w:pPr>
        <w:pStyle w:val="Heading1"/>
        <w:spacing w:after="160" w:before="320"/>
      </w:pPr>
      <w:r>
        <w:rPr>
          <w:rFonts w:ascii="Times New Roman" w:cs="Times New Roman" w:eastAsia="Times New Roman" w:hAnsi="Times New Roman"/>
          <w:b/>
          <w:bCs/>
          <w:sz w:val="32"/>
          <w:szCs w:val="32"/>
        </w:rPr>
        <w:t xml:space="preserve">References</w:t>
      </w:r>
    </w:p>
    <w:p>
      <w:pPr>
        <w:spacing w:after="160" w:line="360"/>
        <w:jc w:val="both"/>
      </w:pPr>
      <w:r>
        <w:rPr>
          <w:rFonts w:ascii="Times New Roman" w:cs="Times New Roman" w:eastAsia="Times New Roman" w:hAnsi="Times New Roman"/>
          <w:sz w:val="24"/>
          <w:szCs w:val="24"/>
        </w:rPr>
        <w:t xml:space="preserve">Adhikari, M., Amirjavid, F. and Bolic, M. (2017) 'A Review of Fall Detection Algorithms for Ambulatory Applications', Sensors, 17(10), p. 2308. doi:10.3390/s17102308.</w:t>
      </w:r>
    </w:p>
    <w:p>
      <w:pPr>
        <w:spacing w:after="160" w:line="360"/>
        <w:jc w:val="both"/>
      </w:pPr>
      <w:r>
        <w:rPr>
          <w:rFonts w:ascii="Times New Roman" w:cs="Times New Roman" w:eastAsia="Times New Roman" w:hAnsi="Times New Roman"/>
          <w:sz w:val="24"/>
          <w:szCs w:val="24"/>
        </w:rPr>
        <w:t xml:space="preserve">Anthropic (2024) Claude: A Next-Generation AI Assistant. Available at: https://www.anthropic.com (Accessed: 27 April 2026).</w:t>
      </w:r>
    </w:p>
    <w:p>
      <w:pPr>
        <w:spacing w:after="160" w:line="360"/>
        <w:jc w:val="both"/>
      </w:pPr>
      <w:r>
        <w:rPr>
          <w:rFonts w:ascii="Times New Roman" w:cs="Times New Roman" w:eastAsia="Times New Roman" w:hAnsi="Times New Roman"/>
          <w:sz w:val="24"/>
          <w:szCs w:val="24"/>
        </w:rPr>
        <w:t xml:space="preserve">Benenson, R., Omran, M., Hosang, J. and Schiele, B. (2014) 'Ten Years of Pedestrian Detection, What Have We Learned?', in Computer Vision – ECCV 2014 Workshops. Lecture Notes in Computer Science. Springer, Cham.</w:t>
      </w:r>
    </w:p>
    <w:p>
      <w:pPr>
        <w:spacing w:after="160" w:line="360"/>
        <w:jc w:val="both"/>
      </w:pPr>
      <w:r>
        <w:rPr>
          <w:rFonts w:ascii="Times New Roman" w:cs="Times New Roman" w:eastAsia="Times New Roman" w:hAnsi="Times New Roman"/>
          <w:sz w:val="24"/>
          <w:szCs w:val="24"/>
        </w:rPr>
        <w:t xml:space="preserve">Ben-David, S., Blitzer, J., Crammer, K., Kulesza, A., Pereira, F. and Vaughan, J.W. (2010) 'A Theory of Learning from Different Domains', Machine Learning, 79(1), pp. 151–175.</w:t>
      </w:r>
    </w:p>
    <w:p>
      <w:pPr>
        <w:spacing w:after="160" w:line="360"/>
        <w:jc w:val="both"/>
      </w:pPr>
      <w:r>
        <w:rPr>
          <w:rFonts w:ascii="Times New Roman" w:cs="Times New Roman" w:eastAsia="Times New Roman" w:hAnsi="Times New Roman"/>
          <w:sz w:val="24"/>
          <w:szCs w:val="24"/>
        </w:rPr>
        <w:t xml:space="preserve">Buolamwini, J. and Gebru, T. (2018) 'Gender Shades: Intersectional Accuracy Disparities in Commercial Gender Classification', in Proceedings of the 1st Conference on Fairness, Accountability and Transparency (FAT* 2018). PMLR, pp. 77–91.</w:t>
      </w:r>
    </w:p>
    <w:p>
      <w:pPr>
        <w:spacing w:after="160" w:line="360"/>
        <w:jc w:val="both"/>
      </w:pPr>
      <w:r>
        <w:rPr>
          <w:rFonts w:ascii="Times New Roman" w:cs="Times New Roman" w:eastAsia="Times New Roman" w:hAnsi="Times New Roman"/>
          <w:sz w:val="24"/>
          <w:szCs w:val="24"/>
        </w:rPr>
        <w:t xml:space="preserve">Carion, N., Massa, F., Synnaeve, G., Usunier, N., Kirillov, A. and Zagoruyko, S. (2020) 'End-to-End Object Detection with Transformers', in Computer Vision – ECCV 2020. Springer, Cham, pp. 213–229.</w:t>
      </w:r>
    </w:p>
    <w:p>
      <w:pPr>
        <w:spacing w:after="160" w:line="360"/>
        <w:jc w:val="both"/>
      </w:pPr>
      <w:r>
        <w:rPr>
          <w:rFonts w:ascii="Times New Roman" w:cs="Times New Roman" w:eastAsia="Times New Roman" w:hAnsi="Times New Roman"/>
          <w:sz w:val="24"/>
          <w:szCs w:val="24"/>
        </w:rPr>
        <w:t xml:space="preserve">Cristani, M., Del Bue, A., Murino, V., Setti, F. and Vinciarelli, A. (2020) 'The Visual Social Distancing Problem', IEEE Access, 8, pp. 126876–126886.</w:t>
      </w:r>
    </w:p>
    <w:p>
      <w:pPr>
        <w:spacing w:after="160" w:line="360"/>
        <w:jc w:val="both"/>
      </w:pPr>
      <w:r>
        <w:rPr>
          <w:rFonts w:ascii="Times New Roman" w:cs="Times New Roman" w:eastAsia="Times New Roman" w:hAnsi="Times New Roman"/>
          <w:sz w:val="24"/>
          <w:szCs w:val="24"/>
        </w:rPr>
        <w:t xml:space="preserve">Dalal, N. and Triggs, B. (2005) 'Histograms of Oriented Gradients for Human Detection', in Proceedings of the 2005 IEEE Computer Society Conference on Computer Vision and Pattern Recognition (CVPR). IEEE, pp. 886–893.</w:t>
      </w:r>
    </w:p>
    <w:p>
      <w:pPr>
        <w:spacing w:after="160" w:line="360"/>
        <w:jc w:val="both"/>
      </w:pPr>
      <w:r>
        <w:rPr>
          <w:rFonts w:ascii="Times New Roman" w:cs="Times New Roman" w:eastAsia="Times New Roman" w:hAnsi="Times New Roman"/>
          <w:sz w:val="24"/>
          <w:szCs w:val="24"/>
        </w:rPr>
        <w:t xml:space="preserve">Dollár, P., Wojek, C., Schiele, B. and Perona, P. (2012) 'Pedestrian Detection: An Evaluation of the State of the Art', IEEE Transactions on Pattern Analysis and Machine Intelligence, 34(4), pp. 743–761.</w:t>
      </w:r>
    </w:p>
    <w:p>
      <w:pPr>
        <w:spacing w:after="160" w:line="360"/>
        <w:jc w:val="both"/>
      </w:pPr>
      <w:r>
        <w:rPr>
          <w:rFonts w:ascii="Times New Roman" w:cs="Times New Roman" w:eastAsia="Times New Roman" w:hAnsi="Times New Roman"/>
          <w:sz w:val="24"/>
          <w:szCs w:val="24"/>
        </w:rPr>
        <w:t xml:space="preserve">European Commission (2021) Proposal for a Regulation of the European Parliament and of the Council Laying Down Harmonised Rules on Artificial Intelligence (Artificial Intelligence Act). Brussels: European Commission. Available at: https://eur-lex.europa.eu/legal-content/EN/TXT/?uri=CELEX:52021PC0206.</w:t>
      </w:r>
    </w:p>
    <w:p>
      <w:pPr>
        <w:spacing w:after="160" w:line="360"/>
        <w:jc w:val="both"/>
      </w:pPr>
      <w:r>
        <w:rPr>
          <w:rFonts w:ascii="Times New Roman" w:cs="Times New Roman" w:eastAsia="Times New Roman" w:hAnsi="Times New Roman"/>
          <w:sz w:val="24"/>
          <w:szCs w:val="24"/>
        </w:rPr>
        <w:t xml:space="preserve">Gallego, G., Delbrück, T., Orchard, G., Bartolozzi, C., Taba, B., Censi, A., Leutenegger, S., Davison, A., Conradt, J., Daniilidis, K. and Scaramuzza, D. (2022) 'Event-Based Vision: A Survey', IEEE Transactions on Pattern Analysis and Machine Intelligence, 44(1), pp. 154–180.</w:t>
      </w:r>
    </w:p>
    <w:p>
      <w:pPr>
        <w:spacing w:after="160" w:line="360"/>
        <w:jc w:val="both"/>
      </w:pPr>
      <w:r>
        <w:rPr>
          <w:rFonts w:ascii="Times New Roman" w:cs="Times New Roman" w:eastAsia="Times New Roman" w:hAnsi="Times New Roman"/>
          <w:sz w:val="24"/>
          <w:szCs w:val="24"/>
        </w:rPr>
        <w:t xml:space="preserve">Girshick, R. (2015) 'Fast R-CNN', in Proceedings of the IEEE International Conference on Computer Vision (ICCV). IEEE, pp. 1440–1448.</w:t>
      </w:r>
    </w:p>
    <w:p>
      <w:pPr>
        <w:spacing w:after="160" w:line="360"/>
        <w:jc w:val="both"/>
      </w:pPr>
      <w:r>
        <w:rPr>
          <w:rFonts w:ascii="Times New Roman" w:cs="Times New Roman" w:eastAsia="Times New Roman" w:hAnsi="Times New Roman"/>
          <w:sz w:val="24"/>
          <w:szCs w:val="24"/>
        </w:rPr>
        <w:t xml:space="preserve">Goodfellow, I.J., Mirza, M., Da, X., Courville, A. and Bengio, Y. (2013) 'An Empirical Investigation of Catastrophic Forgetting in Gradient-Based Neural Networks', arXiv preprint arXiv:1312.6211.</w:t>
      </w:r>
    </w:p>
    <w:p>
      <w:pPr>
        <w:spacing w:after="160" w:line="360"/>
        <w:jc w:val="both"/>
      </w:pPr>
      <w:r>
        <w:rPr>
          <w:rFonts w:ascii="Times New Roman" w:cs="Times New Roman" w:eastAsia="Times New Roman" w:hAnsi="Times New Roman"/>
          <w:sz w:val="24"/>
          <w:szCs w:val="24"/>
        </w:rPr>
        <w:t xml:space="preserve">Guo, C., Pleiss, G., Sun, Y. and Weinberger, K.Q. (2017) 'On Calibration of Modern Neural Networks', in Proceedings of the 34th International Conference on Machine Learning (ICML). PMLR, pp. 1321–1330.</w:t>
      </w:r>
    </w:p>
    <w:p>
      <w:pPr>
        <w:spacing w:after="160" w:line="360"/>
        <w:jc w:val="both"/>
      </w:pPr>
      <w:r>
        <w:rPr>
          <w:rFonts w:ascii="Times New Roman" w:cs="Times New Roman" w:eastAsia="Times New Roman" w:hAnsi="Times New Roman"/>
          <w:sz w:val="24"/>
          <w:szCs w:val="24"/>
        </w:rPr>
        <w:t xml:space="preserve">He, K., Zhang, X., Ren, S. and Sun, J. (2016) 'Deep Residual Learning for Image Recognition', in Proceedings of the IEEE Conference on Computer Vision and Pattern Recognition (CVPR). IEEE, pp. 770–778.</w:t>
      </w:r>
    </w:p>
    <w:p>
      <w:pPr>
        <w:spacing w:after="160" w:line="360"/>
        <w:jc w:val="both"/>
      </w:pPr>
      <w:r>
        <w:rPr>
          <w:rFonts w:ascii="Times New Roman" w:cs="Times New Roman" w:eastAsia="Times New Roman" w:hAnsi="Times New Roman"/>
          <w:sz w:val="24"/>
          <w:szCs w:val="24"/>
        </w:rPr>
        <w:t xml:space="preserve">Jacob, B., Kligys, S., Chen, B., Zhu, M., Tang, M., Howard, A., Adam, H. and Kalenichenko, D. (2018) 'Quantization and Training of Neural Networks for Efficient Integer-Arithmetic-Only Inference', in Proceedings of the IEEE Conference on Computer Vision and Pattern Recognition (CVPR). IEEE, pp. 2704–2713.</w:t>
      </w:r>
    </w:p>
    <w:p>
      <w:pPr>
        <w:spacing w:after="160" w:line="360"/>
        <w:jc w:val="both"/>
      </w:pPr>
      <w:r>
        <w:rPr>
          <w:rFonts w:ascii="Times New Roman" w:cs="Times New Roman" w:eastAsia="Times New Roman" w:hAnsi="Times New Roman"/>
          <w:sz w:val="24"/>
          <w:szCs w:val="24"/>
        </w:rPr>
        <w:t xml:space="preserve">Jocher, G., Chaurasia, A. and Qiu, J. (2023) Ultralytics YOLOv8. Available at: https://github.com/ultralytics/ultralytics (Accessed: 27 April 2026).</w:t>
      </w:r>
    </w:p>
    <w:p>
      <w:pPr>
        <w:spacing w:after="160" w:line="360"/>
        <w:jc w:val="both"/>
      </w:pPr>
      <w:r>
        <w:rPr>
          <w:rFonts w:ascii="Times New Roman" w:cs="Times New Roman" w:eastAsia="Times New Roman" w:hAnsi="Times New Roman"/>
          <w:sz w:val="24"/>
          <w:szCs w:val="24"/>
        </w:rPr>
        <w:t xml:space="preserve">LeCun, Y., Bengio, Y. and Hinton, G. (2015) 'Deep Learning', Nature, 521(7553), pp. 436–444.</w:t>
      </w:r>
    </w:p>
    <w:p>
      <w:pPr>
        <w:spacing w:after="160" w:line="360"/>
        <w:jc w:val="both"/>
      </w:pPr>
      <w:r>
        <w:rPr>
          <w:rFonts w:ascii="Times New Roman" w:cs="Times New Roman" w:eastAsia="Times New Roman" w:hAnsi="Times New Roman"/>
          <w:sz w:val="24"/>
          <w:szCs w:val="24"/>
        </w:rPr>
        <w:t xml:space="preserve">Lin, T.Y., Maire, M., Belongie, S., Hays, J., Perona, P., Ramanan, D., Dollár, P. and Zitnick, C.L. (2014) 'Microsoft COCO: Common Objects in Context', in Computer Vision – ECCV 2014. Springer, Cham, pp. 740–755.</w:t>
      </w:r>
    </w:p>
    <w:p>
      <w:pPr>
        <w:spacing w:after="160" w:line="360"/>
        <w:jc w:val="both"/>
      </w:pPr>
      <w:r>
        <w:rPr>
          <w:rFonts w:ascii="Times New Roman" w:cs="Times New Roman" w:eastAsia="Times New Roman" w:hAnsi="Times New Roman"/>
          <w:sz w:val="24"/>
          <w:szCs w:val="24"/>
        </w:rPr>
        <w:t xml:space="preserve">Liu, S., Zeng, Z., Ren, T., Li, F., Zhang, H., Yang, J., Li, C., Yang, J., Su, H., Zhu, J. and Zhang, L. (2023) 'Grounding DINO: Marrying DINO with Grounded Pre-Training for Open-Set Object Detection', arXiv preprint arXiv:2303.05499.</w:t>
      </w:r>
    </w:p>
    <w:p>
      <w:pPr>
        <w:spacing w:after="160" w:line="360"/>
        <w:jc w:val="both"/>
      </w:pPr>
      <w:r>
        <w:rPr>
          <w:rFonts w:ascii="Times New Roman" w:cs="Times New Roman" w:eastAsia="Times New Roman" w:hAnsi="Times New Roman"/>
          <w:sz w:val="24"/>
          <w:szCs w:val="24"/>
        </w:rPr>
        <w:t xml:space="preserve">MarketsandMarkets (2023) Retail Analytics Market: Global Forecast to 2027. Report code: TC 3450. Northbrook, IL: MarketsandMarkets Research.</w:t>
      </w:r>
    </w:p>
    <w:p>
      <w:pPr>
        <w:spacing w:after="160" w:line="360"/>
        <w:jc w:val="both"/>
      </w:pPr>
      <w:r>
        <w:rPr>
          <w:rFonts w:ascii="Times New Roman" w:cs="Times New Roman" w:eastAsia="Times New Roman" w:hAnsi="Times New Roman"/>
          <w:sz w:val="24"/>
          <w:szCs w:val="24"/>
        </w:rPr>
        <w:t xml:space="preserve">McMahan, H.B., Moore, E., Ramage, D., Hampson, S. and Agüera y Arcas, B. (2017) 'Communication-Efficient Learning of Deep Networks from Decentralized Data', in Proceedings of the 20th International Conference on Artificial Intelligence and Statistics (AISTATS). PMLR, pp. 1273–1282.</w:t>
      </w:r>
    </w:p>
    <w:p>
      <w:pPr>
        <w:spacing w:after="160" w:line="360"/>
        <w:jc w:val="both"/>
      </w:pPr>
      <w:r>
        <w:rPr>
          <w:rFonts w:ascii="Times New Roman" w:cs="Times New Roman" w:eastAsia="Times New Roman" w:hAnsi="Times New Roman"/>
          <w:sz w:val="24"/>
          <w:szCs w:val="24"/>
        </w:rPr>
        <w:t xml:space="preserve">Pineau, J., Vincent-Lamarre, P., Sinha, K., Larivière, V., Beygelzimer, A., d'Alché-Buc, F., Fox, E. and Larochelle, H. (2021) 'Improving Reproducibility in Machine Learning Research (A Report from the NeurIPS 2019 Reproducibility Program)', Journal of Machine Learning Research, 22(164), pp. 1–20.</w:t>
      </w:r>
    </w:p>
    <w:p>
      <w:pPr>
        <w:spacing w:after="160" w:line="360"/>
        <w:jc w:val="both"/>
      </w:pPr>
      <w:r>
        <w:rPr>
          <w:rFonts w:ascii="Times New Roman" w:cs="Times New Roman" w:eastAsia="Times New Roman" w:hAnsi="Times New Roman"/>
          <w:sz w:val="24"/>
          <w:szCs w:val="24"/>
        </w:rPr>
        <w:t xml:space="preserve">Platt, J.C. (1999) 'Probabilistic Outputs for Support Vector Machines and Comparisons to Regularized Likelihood Methods', in Advances in Large Margin Classifiers. MIT Press, pp. 61–74.</w:t>
      </w:r>
    </w:p>
    <w:p>
      <w:pPr>
        <w:spacing w:after="160" w:line="360"/>
        <w:jc w:val="both"/>
      </w:pPr>
      <w:r>
        <w:rPr>
          <w:rFonts w:ascii="Times New Roman" w:cs="Times New Roman" w:eastAsia="Times New Roman" w:hAnsi="Times New Roman"/>
          <w:sz w:val="24"/>
          <w:szCs w:val="24"/>
        </w:rPr>
        <w:t xml:space="preserve">Radford, A., Kim, J.W., Hallacy, C., Ramesh, A., Goh, G., Agarwal, S., Sastry, G., Askell, A., Mishkin, P., Clark, J., Krueger, G. and Sutskever, I. (2021) 'Learning Transferable Visual Models From Natural Language Supervision', in Proceedings of the 38th International Conference on Machine Learning (ICML). PMLR, pp. 8748–8763.</w:t>
      </w:r>
    </w:p>
    <w:p>
      <w:pPr>
        <w:spacing w:after="160" w:line="360"/>
        <w:jc w:val="both"/>
      </w:pPr>
      <w:r>
        <w:rPr>
          <w:rFonts w:ascii="Times New Roman" w:cs="Times New Roman" w:eastAsia="Times New Roman" w:hAnsi="Times New Roman"/>
          <w:sz w:val="24"/>
          <w:szCs w:val="24"/>
        </w:rPr>
        <w:t xml:space="preserve">Ravi, N., Gabriel, V.V., Koohpayegani, S.A., Bhatt, U., Lu, Y., Ghiasi, G., Vedaldi, A., Buch, A., Menini, G., Mancini, M. and Karanam, S. (2024) 'SAM 2: Segment Anything in Images and Videos', arXiv preprint arXiv:2408.00714.</w:t>
      </w:r>
    </w:p>
    <w:p>
      <w:pPr>
        <w:spacing w:after="160" w:line="360"/>
        <w:jc w:val="both"/>
      </w:pPr>
      <w:r>
        <w:rPr>
          <w:rFonts w:ascii="Times New Roman" w:cs="Times New Roman" w:eastAsia="Times New Roman" w:hAnsi="Times New Roman"/>
          <w:sz w:val="24"/>
          <w:szCs w:val="24"/>
        </w:rPr>
        <w:t xml:space="preserve">Redmon, J. and Farhadi, A. (2018) 'YOLOv3: An Incremental Improvement', arXiv preprint arXiv:1804.02767.</w:t>
      </w:r>
    </w:p>
    <w:p>
      <w:pPr>
        <w:spacing w:after="160" w:line="360"/>
        <w:jc w:val="both"/>
      </w:pPr>
      <w:r>
        <w:rPr>
          <w:rFonts w:ascii="Times New Roman" w:cs="Times New Roman" w:eastAsia="Times New Roman" w:hAnsi="Times New Roman"/>
          <w:sz w:val="24"/>
          <w:szCs w:val="24"/>
        </w:rPr>
        <w:t xml:space="preserve">Ren, S., He, K., Girshick, R. and Sun, J. (2015) 'Faster R-CNN: Towards Real-Time Object Detection with Region Proposal Networks', in Advances in Neural Information Processing Systems 28 (NeurIPS). Curran Associates, pp. 91–99.</w:t>
      </w:r>
    </w:p>
    <w:p>
      <w:pPr>
        <w:spacing w:after="160" w:line="360"/>
        <w:jc w:val="both"/>
      </w:pPr>
      <w:r>
        <w:rPr>
          <w:rFonts w:ascii="Times New Roman" w:cs="Times New Roman" w:eastAsia="Times New Roman" w:hAnsi="Times New Roman"/>
          <w:sz w:val="24"/>
          <w:szCs w:val="24"/>
        </w:rPr>
        <w:t xml:space="preserve">Rudin, C. (2019) 'Stop Explaining Black Box Machine Learning Models for High Stakes Decisions and Use Interpretable Models Instead', Nature Machine Intelligence, 1(5), pp. 206–215.</w:t>
      </w:r>
    </w:p>
    <w:p>
      <w:pPr>
        <w:spacing w:after="160" w:line="360"/>
        <w:jc w:val="both"/>
      </w:pPr>
      <w:r>
        <w:rPr>
          <w:rFonts w:ascii="Times New Roman" w:cs="Times New Roman" w:eastAsia="Times New Roman" w:hAnsi="Times New Roman"/>
          <w:sz w:val="24"/>
          <w:szCs w:val="24"/>
        </w:rPr>
        <w:t xml:space="preserve">Selvaraju, R.R., Cogswell, M., Das, A., Vedantam, R., Parikh, D. and Batra, D. (2017) 'Grad-CAM: Visual Explanations from Deep Networks via Gradient-Based Localization', in Proceedings of the IEEE International Conference on Computer Vision (ICCV). IEEE, pp. 618–626.</w:t>
      </w:r>
    </w:p>
    <w:p>
      <w:pPr>
        <w:spacing w:after="160" w:line="360"/>
        <w:jc w:val="both"/>
      </w:pPr>
      <w:r>
        <w:rPr>
          <w:rFonts w:ascii="Times New Roman" w:cs="Times New Roman" w:eastAsia="Times New Roman" w:hAnsi="Times New Roman"/>
          <w:sz w:val="24"/>
          <w:szCs w:val="24"/>
        </w:rPr>
        <w:t xml:space="preserve">Strubell, E., Ganesh, A. and McCallum, A. (2019) 'Energy and Policy Considerations for Deep Learning in NLP', in Proceedings of the 57th Annual Meeting of the Association for Computational Linguistics (ACL). Association for Computational Linguistics, pp. 3645–3650.</w:t>
      </w:r>
    </w:p>
    <w:p>
      <w:pPr>
        <w:spacing w:after="160" w:line="360"/>
        <w:jc w:val="both"/>
      </w:pPr>
      <w:r>
        <w:rPr>
          <w:rFonts w:ascii="Times New Roman" w:cs="Times New Roman" w:eastAsia="Times New Roman" w:hAnsi="Times New Roman"/>
          <w:sz w:val="24"/>
          <w:szCs w:val="24"/>
        </w:rPr>
        <w:t xml:space="preserve">Zhang, H., Li, F., Liu, S., Zhang, L., Su, H., Zhu, J., Ni, L.M. and Shum, H.Y. (2022) 'DINO: DETR with Improved DeNoising Anchor Boxes for End-to-End Object Detection', arXiv preprint arXiv:2203.03605.</w:t>
      </w:r>
    </w:p>
    <w:p>
      <w:pPr>
        <w:spacing w:after="160" w:line="360"/>
        <w:jc w:val="both"/>
      </w:pPr>
      <w:r>
        <w:rPr>
          <w:rFonts w:ascii="Times New Roman" w:cs="Times New Roman" w:eastAsia="Times New Roman" w:hAnsi="Times New Roman"/>
          <w:sz w:val="24"/>
          <w:szCs w:val="24"/>
        </w:rPr>
        <w:t xml:space="preserve">Zuboff, S. (2019) The Age of Surveillance Capitalism: The Fight for a Human Future at the New Frontier of Power. London: Profile Books.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WMG9B7-15 Individual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20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4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2026-04-30T20:51:19.959Z</dcterms:created>
  <dcterms:modified xsi:type="dcterms:W3CDTF">2026-04-30T20:51:19.959Z</dcterms:modified>
</cp:coreProperties>
</file>

<file path=docProps/custom.xml><?xml version="1.0" encoding="utf-8"?>
<Properties xmlns="http://schemas.openxmlformats.org/officeDocument/2006/custom-properties" xmlns:vt="http://schemas.openxmlformats.org/officeDocument/2006/docPropsVTypes"/>
</file>