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Bdr>
          <w:bottom w:val="single" w:color="BFBFBF" w:sz="6" w:space="8"/>
        </w:pBdr>
        <w:spacing w:after="320"/>
      </w:pPr>
      <w:r>
        <w:rPr>
          <w:rFonts w:ascii="Calibri" w:cs="Calibri" w:eastAsia="Calibri" w:hAnsi="Calibri"/>
          <w:i/>
          <w:iCs/>
          <w:color w:val="444444"/>
          <w:sz w:val="19"/>
          <w:szCs w:val="19"/>
        </w:rPr>
        <w:t>Sections 3.1 to 3.9 — one figure, eight tables, seven equations.</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 xml:space="preserve">This chapter specifies the forecasting method: the data it requires, how each component is built, how its parameters are chosen, and how the forecasts are judged. It is written to be reproducible by a reader who has not seen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 xml:space="preserve">The paradigm is a controlled comparative evaluation. Chapter 2 found the gap here to be one of integration rather than invention, the econometric, regime-switching, deep-learning and uncertainty-quantification traditions having matured separately. The object under test is therefore the assembled pipeline, not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scoring rules.</w:t>
      </w:r>
    </w:p>
    <w:p>
      <w:pPr>
        <w:spacing w:after="160" w:line="320"/>
        <w:jc w:val="both"/>
      </w:pPr>
      <w:r>
        <w:rPr>
          <w:rFonts w:ascii="Calibri" w:cs="Calibri" w:eastAsia="Calibri" w:hAnsi="Calibri"/>
          <w:color w:val="111111"/>
          <w:sz w:val="22"/>
          <w:szCs w:val="22"/>
        </w:rPr>
        <w:t>Figure 3.1 shows the pipeline, Sections 3.2 to 3.7 taking its stages in order. The target is realised variance rather than realised volatility, every loss computed on the variance scale, and Table 3.1 fixes each model's role, Table 3.4 naming every model that fills one. A single primary asset is evaluated, a scope decision revisited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 xml:space="preserve">Table 3.1  Model inventory: the role each model plays in the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240" w:before="60"/>
      </w:pPr>
      <w:r>
        <w:rPr>
          <w:rFonts w:ascii="Calibri" w:cs="Calibri" w:eastAsia="Calibri" w:hAnsi="Calibri"/>
          <w:i/>
          <w:iCs/>
          <w:color w:val="444444"/>
          <w:sz w:val="18"/>
          <w:szCs w:val="18"/>
        </w:rPr>
        <w:t xml:space="preserve">Table 3.1. The terms in the left-hand column are used with these meanings in every subsequent chapter.</w:t>
      </w:r>
    </w:p>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Figure 3.1. The forecasting pipeline. Solid arrows carry data; the dashed arrow carries the regime signal, estimated on the training window only. The bracket marks the stages produced on the anchored walk-forward; each estimation box states its own refit cadence, which differs by model family for the reasons given in Section 3.6.</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 xml:space="preserve">The method is specified against a data interface, not a data source: any series meeting the requirements below drives the pipeline unchanged, and Chapter 4 names the series used. The dependent variable is the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 xml:space="preserve">Predictor requirements stay modest, the comparison in Section 3.4 being interpretable only if every model draws on the same information set. Table 3.2 gives the interface; an auxiliary implied-volatility series must price options on the same market as the target, one from another market being a spillover experiment rather than a feature. Rows with a missing value in a required field are dropped, never imputed, the missing quantity being the object forecast.</w:t>
      </w:r>
    </w:p>
    <w:p>
      <w:pPr>
        <w:spacing w:after="90" w:before="200"/>
      </w:pPr>
      <w:r>
        <w:rPr>
          <w:rFonts w:ascii="Calibri" w:cs="Calibri" w:eastAsia="Calibri" w:hAnsi="Calibri"/>
          <w:b/>
          <w:bCs/>
          <w:color w:val="111111"/>
          <w:sz w:val="19"/>
          <w:szCs w:val="19"/>
        </w:rPr>
        <w:t xml:space="preserve">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000"/>
        <w:gridCol w:w="228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28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Close-to-close return for the variance baselines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session-only measures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 matched to the target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40" w:before="60"/>
      </w:pPr>
      <w:r>
        <w:rPr>
          <w:rFonts w:ascii="Calibri" w:cs="Calibri" w:eastAsia="Calibri" w:hAnsi="Calibri"/>
          <w:i/>
          <w:iCs/>
          <w:color w:val="444444"/>
          <w:sz w:val="18"/>
          <w:szCs w:val="18"/>
        </w:rPr>
        <w:t xml:space="preserve">Table 3.2. Data dictionary: what the method requires of any input series.</w:t>
      </w:r>
    </w:p>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training, validation and test windows as specified in Section 3.6.</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expectation-maximisation switches states faster than the data warrant (Nystrup, Lindström and Madsen, 2020). This design adopts their remedy, penalising switching directly, and keeps the maximum-likelihood fit as the comparator profile.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ℓ</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x</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ℓ</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a posterior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x</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xml:space="preserve">, …, x</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which prevents the penalty being tuned to the answer; a finer sweep is published alongside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 xml:space="preserve">What varies across the models of Table 3.1 is the information each may use and the form each may take, and only one varies at a time. Three econometric baselines close off a different competing explanation apiece, alongside a reference floor; Table 3.3 states what each rules out.</w:t>
      </w:r>
    </w:p>
    <w:p>
      <w:pPr>
        <w:spacing w:after="90" w:before="200"/>
      </w:pPr>
      <w:r>
        <w:rPr>
          <w:rFonts w:ascii="Calibri" w:cs="Calibri" w:eastAsia="Calibri" w:hAnsi="Calibri"/>
          <w:b/>
          <w:bCs/>
          <w:color w:val="111111"/>
          <w:sz w:val="19"/>
          <w:szCs w:val="19"/>
        </w:rPr>
        <w:t xml:space="preserve">Table 3.3  The baseline set and what each is there to rule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240" w:before="60"/>
      </w:pPr>
      <w:r>
        <w:rPr>
          <w:rFonts w:ascii="Calibri" w:cs="Calibri" w:eastAsia="Calibri" w:hAnsi="Calibri"/>
          <w:i/>
          <w:iCs/>
          <w:color w:val="444444"/>
          <w:sz w:val="18"/>
          <w:szCs w:val="18"/>
        </w:rPr>
        <w:t xml:space="preserve">Table 3.3. The baseline set. The conditional-variance models take open-to-close returns, matching the session-only realised measure; a close-to-close return embeds the overnight gap, which the ratio loss of Section 3.7 would read as forecast error.</w:t>
      </w:r>
    </w:p>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The alternative was attention — the Transformer (Vaswani et al., 2017) and the Temporal Fusion Transformer (Lim et al., 2021) — rejected on evidence rather than conservatism. Attention is data-hungry, precisely the regime in which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 xml:space="preserve">Two ablations vary that information set while holding the architecture fixed, because a win over HAR-RV would otherwise be unattributable. The first restricts the input to realised-volatility history alone, which is HAR-RV's own information source: whatever advantage survives is then the architecture rather than the extra return. The match is on the source and not on its construction — the network receives raw daily lags across its lookback window where HAR-RV receives daily, weekly and monthly aggregates reaching twenty-two days — so unless the selected window is at least that long the network works from less history, which makes it the more conservative control; Chapter 4 reports the window and therefore which case holds. The second ablation adds an implied-volatility index, the auxiliary series of Table 3.2. It is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rPr>
          <w:rFonts w:ascii="Calibri" w:cs="Calibri" w:eastAsia="Calibri" w:hAnsi="Calibri"/>
          <w:color w:val="111111"/>
          <w:sz w:val="22"/>
          <w:szCs w:val="22"/>
        </w:rPr>
        <w:t xml:space="preserve">Two architectures condition that network on the regime signal, differing in where it enters. Regime as feature appends the lagged posterior to the input vector. A mixture of experts (Jacobs et al., 1991) trains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ŷ</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P</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k</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1</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t|t−1</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t|t−1</w:t>
      </w:r>
      <w:r>
        <w:rPr>
          <w:rFonts w:ascii="Calibri" w:cs="Calibri" w:eastAsia="Calibri" w:hAnsi="Calibri"/>
          <w:color w:val="111111"/>
          <w:sz w:val="22"/>
          <w:szCs w:val="22"/>
        </w:rPr>
        <w:t xml:space="preserve"> is the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rPr>
          <w:rFonts w:ascii="Calibri" w:cs="Calibri" w:eastAsia="Calibri" w:hAnsi="Calibri"/>
          <w:color w:val="111111"/>
          <w:sz w:val="22"/>
          <w:szCs w:val="22"/>
        </w:rPr>
        <w:t xml:space="preserve">Table 3.4 assembles the board these choices produce. Every model appearing in any later table is named there, with the information it may use and the single question its presence answers, so that no result is reported for a specification the reader has not been shown.</w:t>
      </w:r>
    </w:p>
    <w:p>
      <w:pPr>
        <w:spacing w:after="90" w:before="200"/>
      </w:pPr>
      <w:r>
        <w:rPr>
          <w:rFonts w:ascii="Calibri" w:cs="Calibri" w:eastAsia="Calibri" w:hAnsi="Calibri"/>
          <w:b/>
          <w:bCs/>
          <w:color w:val="111111"/>
          <w:sz w:val="19"/>
          <w:szCs w:val="19"/>
        </w:rPr>
        <w:t xml:space="preserve">Table 3.4  The model board: what each model is, what it sees, and what it isolates.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60"/>
        <w:gridCol w:w="2740"/>
        <w:gridCol w:w="302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c>
          <w:tcPr>
            <w:tcW w:type="dxa" w:w="27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Information set</w:t>
            </w:r>
          </w:p>
        </w:tc>
        <w:tc>
          <w:tcPr>
            <w:tcW w:type="dxa" w:w="30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isolates</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 history, as daily, weekly and monthly aggregates reaching 22 days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previous day's RV</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Persistence alone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Unconditional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and the daily return, over the lookback window</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 what the architecture achieves with no regime signal</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Information-set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alone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control's edge over HAR-RV is the architecture or the extra return — HAR-RV's information source, differently constructed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LSTM-VIX</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Auxiliary-feature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an implied-volatility index</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option-implied information buys; reported apart from the board, its information set being strictly larger</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the lagged state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information, the form fixed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plus the lagged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question on the leaner set, so a regime effect is not confounded with the return feature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the posterior gates the mixture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form rather than information (Equation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the stochastic passes add, the point model unchanged (Equation 3.5)</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network's deterministic pass with an aleatoric-only interval: the width the passes are measured against, not a third method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distribution-free interval, so a calibration result does not rest on the dropout approximation</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Quantile-LSTM-mean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Sensitivity</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quantile forecast on the mean scale the losses elicit; one forecast under two retransformations, so it is never ranked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Combined model</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regime conditioning and the uncertainty layer compose (RQ2 × RQ3)</w:t>
            </w:r>
          </w:p>
        </w:tc>
      </w:tr>
    </w:tbl>
    <w:p>
      <w:pPr>
        <w:spacing w:after="240" w:before="60"/>
      </w:pPr>
      <w:r>
        <w:rPr>
          <w:rFonts w:ascii="Calibri" w:cs="Calibri" w:eastAsia="Calibri" w:hAnsi="Calibri"/>
          <w:i/>
          <w:iCs/>
          <w:color w:val="444444"/>
          <w:sz w:val="18"/>
          <w:szCs w:val="18"/>
        </w:rPr>
        <w:t xml:space="preserve">Table 3.4. The model board. Roles are those of Table 3.1, and these names are used unchanged in every subsequent chapter. An ablation exists to attribute an effect rather than to compete; a sensitivity is one forecast read a second way, and is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and the method adds uncertainty rather than a different forecast; only inference changes, the dropout staying active while the network runs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stochastic passes. Reusing the point model keeps the comparison clean: a difference in interval quality cannot then be a difference in the forecaster.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is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the first term the epistemic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p>
    <w:p>
      <w:pPr>
        <w:spacing w:after="160" w:line="320"/>
        <w:jc w:val="both"/>
      </w:pPr>
      <w:r>
        <w:rPr>
          <w:rFonts w:ascii="Calibri" w:cs="Calibri" w:eastAsia="Calibri" w:hAnsi="Calibri"/>
          <w:color w:val="111111"/>
          <w:sz w:val="22"/>
          <w:szCs w:val="22"/>
        </w:rPr>
        <w:t>The comparison method assumes no distribution: one network carries a multi-quantile head trained under the pinball loss (Koenker and Bassett, 1978), monotone by construction so quantiles cannot cross.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Table 3.4. A third specification, LSTM-Gaussian in Table 3.4, is the same network's deterministic forecast with an aleatoric-only interval, an ablation isolating what the passes buy. Hyperparameters stay at the Section 3.6 values throughout.</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the test block is touched once. Over it the forecasts are produced on an anchored walk-forward, the estimation window growing from the start of the sample, which beats a fixed-length rolling window because volatility regimes recur and discarding an early crisis would leave a model with no instance of the behaviour it most needs to have seen.</w:t>
      </w:r>
    </w:p>
    <w:p>
      <w:pPr>
        <w:spacing w:after="160" w:line="320" w:lineRule="auto"/>
        <w:jc w:val="both"/>
      </w:pPr>
      <w:r>
        <w:rPr>
          <w:rFonts w:ascii="Calibri" w:hAnsi="Calibri" w:cs="Calibri" w:eastAsia="Calibri"/>
          <w:color w:val="111111"/>
          <w:sz w:val="22"/>
        </w:rPr>
        <w:t>What that walk-forward re-estimates is not the same for every model, and the difference is a design decision rather than an oversight. The econometric baselines are refitted on the expanding window at a fixed cadence, monthly here: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somewhere else. With a single seed the second is not measurable, so a refitted network's month-to-month variation could not be attributed to either.</w:t>
      </w:r>
    </w:p>
    <w:p>
      <w:pPr>
        <w:spacing w:after="160" w:line="320" w:lineRule="auto"/>
        <w:jc w:val="both"/>
      </w:pPr>
      <w:r>
        <w:rPr>
          <w:rFonts w:ascii="Calibri" w:hAnsi="Calibri" w:cs="Calibri" w:eastAsia="Calibri"/>
          <w:color w:val="111111"/>
          <w:sz w:val="22"/>
        </w:rPr>
        <w:t>Both protocols are leakage-free: no quantity entering a forecast for a given day was computed from that day or later. They are not symmetric, though,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alone, from one whose training window has merely gone stale. Separating the two requires refitting the network at the baselines' cadence and comparing, a sensitivity this design admits rather than resolves, and which Chapter 4 reports.</w:t>
      </w:r>
    </w:p>
    <w:p>
      <w:pPr>
        <w:spacing w:after="160" w:line="320" w:lineRule="auto"/>
        <w:jc w:val="both"/>
      </w:pPr>
      <w:r>
        <w:rPr>
          <w:rFonts w:ascii="Calibri" w:hAnsi="Calibri" w:cs="Calibri" w:eastAsia="Calibri"/>
          <w:color w:val="111111"/>
          <w:sz w:val="22"/>
        </w:rPr>
        <w:t>The regime model's estimation window is shorter still. It is fitted on the training block alone — not on all pre-test data, as the networks are — and its posterior is then filtered forward without refitting. The reason is that those same rows carry a selection: the state count and the jump penalty of Section 3.3 are chosen on training data, so re-estimating the model afterwards would either reopen that choice or freeze it against a fit it no longer describes. Holding the estimation and selection windows identical is the conservative reading, and it means the regime signal available at any forecast origin was estimated from strictly less information than the network consuming it.</w:t>
      </w:r>
    </w:p>
    <w:p>
      <w:pPr>
        <w:spacing w:after="160" w:line="320"/>
        <w:jc w:val="both"/>
      </w:pPr>
      <w:r>
        <w:rPr>
          <w:rFonts w:ascii="Calibri" w:cs="Calibri" w:eastAsia="Calibri" w:hAnsi="Calibri"/>
          <w:color w:val="111111"/>
          <w:sz w:val="22"/>
          <w:szCs w:val="22"/>
        </w:rPr>
        <w:t xml:space="preserve">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w:t>
      </w:r>
    </w:p>
    <w:p>
      <w:pPr>
        <w:spacing w:after="90" w:before="200"/>
      </w:pPr>
      <w:r>
        <w:rPr>
          <w:rFonts w:ascii="Calibri" w:cs="Calibri" w:eastAsia="Calibri" w:hAnsi="Calibri"/>
          <w:b/>
          <w:bCs/>
          <w:color w:val="111111"/>
          <w:sz w:val="19"/>
          <w:szCs w:val="19"/>
        </w:rPr>
        <w:t>Table 3.5  Hyperparameters: meaning, candidates, selection and expected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10–40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32–128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values, 1e-4 to 1e-3</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bl>
    <w:p>
      <w:pPr>
        <w:spacing w:after="240" w:before="60"/>
      </w:pPr>
      <w:r>
        <w:rPr>
          <w:rFonts w:ascii="Calibri" w:cs="Calibri" w:eastAsia="Calibri" w:hAnsi="Calibri"/>
          <w:i/>
          <w:iCs/>
          <w:color w:val="444444"/>
          <w:sz w:val="18"/>
          <w:szCs w:val="18"/>
        </w:rPr>
        <w:t>Table 3.5. Hyperparameters. Selected values are reported in Chapter 4, being outcomes of the procedure.</w:t>
      </w:r>
    </w:p>
    <w:p>
      <w:pPr>
        <w:spacing w:after="160" w:line="320"/>
        <w:jc w:val="both"/>
      </w:pPr>
      <w:r>
        <w:rPr>
          <w:rFonts w:ascii="Calibri" w:cs="Calibri" w:eastAsia="Calibri" w:hAnsi="Calibri"/>
          <w:color w:val="111111"/>
          <w:sz w:val="22"/>
          <w:szCs w:val="22"/>
        </w:rPr>
        <w:t>One unswept decision in Table 3.5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Every model is scored on the same held-out block and dates, used once, so the losses are paired as the significance tests require. Table 3.6 lists the criteria and the question each answers; most are conventional and used conventionally, so they are named and cited rather than re-derived, while two depart from standard practice and are defined below.</w:t>
      </w:r>
    </w:p>
    <w:p>
      <w:pPr>
        <w:spacing w:after="90" w:before="200"/>
      </w:pPr>
      <w:r>
        <w:rPr>
          <w:rFonts w:ascii="Calibri" w:cs="Calibri" w:eastAsia="Calibri" w:hAnsi="Calibri"/>
          <w:b/>
          <w:bCs/>
          <w:color w:val="111111"/>
          <w:sz w:val="19"/>
          <w:szCs w:val="19"/>
        </w:rPr>
        <w:t>Table 3.6  Evaluation criteria and the question each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 Eq. 3.6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Christoffersen;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violations match the nominal rate, cluster, or are predictable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Project-specific; Eq. 3.7, Holm (1979)</w:t>
            </w:r>
          </w:p>
        </w:tc>
      </w:tr>
    </w:tbl>
    <w:p>
      <w:pPr>
        <w:spacing w:after="240" w:before="60"/>
      </w:pPr>
      <w:r>
        <w:rPr>
          <w:rFonts w:ascii="Calibri" w:cs="Calibri" w:eastAsia="Calibri" w:hAnsi="Calibri"/>
          <w:i/>
          <w:iCs/>
          <w:color w:val="444444"/>
          <w:sz w:val="18"/>
          <w:szCs w:val="18"/>
        </w:rPr>
        <w:t>Table 3.6. Evaluation criteria. The two departing from standard practice are defined in Equations 3.6 and 3.7.</w:t>
      </w:r>
    </w:p>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h</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h</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 xml:space="preserve">	(3.6)</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h</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QLIKE is more often written without the final two terms; this form subtracts its value at a perfect forecast, so the loss is zero when </w:t>
      </w:r>
      <w:r>
        <w:rPr>
          <w:rFonts w:ascii="Calibri" w:cs="Calibri" w:eastAsia="Calibri" w:hAnsi="Calibri"/>
          <w:i/>
          <w:iCs/>
          <w:color w:val="111111"/>
          <w:sz w:val="22"/>
          <w:szCs w:val="22"/>
        </w:rPr>
        <w:t xml:space="preserve">h</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σ</w:t>
      </w:r>
      <w:r>
        <w:rPr>
          <w:rFonts w:ascii="Calibri" w:cs="Calibri" w:eastAsia="Calibri" w:hAnsi="Calibri"/>
          <w:i/>
          <w:iCs/>
          <w:color w:val="111111"/>
          <w:sz w:val="19"/>
          <w:szCs w:val="19"/>
          <w:vertAlign w:val="superscript"/>
        </w:rPr>
        <w:t xml:space="preserve">2</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 xml:space="preserve">y</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 xml:space="preserve">y</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 xml:space="preserve">	(3.7)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y</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realised variance, </w:t>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interval bounds,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Table 3.7 states the minimum configuration, each requirement following from the architectures of Section 3.4 rather than from the machine these experiments happened to use.</w:t>
      </w:r>
    </w:p>
    <w:p>
      <w:pPr>
        <w:spacing w:after="90" w:before="200"/>
      </w:pPr>
      <w:r>
        <w:rPr>
          <w:rFonts w:ascii="Calibri" w:cs="Calibri" w:eastAsia="Calibri" w:hAnsi="Calibri"/>
          <w:b/>
          <w:bCs/>
          <w:color w:val="111111"/>
          <w:sz w:val="19"/>
          <w:szCs w:val="19"/>
        </w:rPr>
        <w:t>Table 3.7  Minimum computational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203,139 (largest)</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Mixture of experts, </w:t>
            </w:r>
            <w:r>
              <w:rPr>
                <w:rFonts w:ascii="Calibri" w:cs="Calibri" w:eastAsia="Calibri" w:hAnsi="Calibri"/>
                <w:b w:val="false"/>
                <w:bCs w:val="false"/>
                <w:i/>
                <w:iCs/>
                <w:color w:val="444444"/>
                <w:sz w:val="18"/>
                <w:szCs w:val="18"/>
              </w:rPr>
              <w:t xml:space="preserve">K</w:t>
            </w:r>
            <w:r>
              <w:rPr>
                <w:rFonts w:ascii="Calibri" w:cs="Calibri" w:eastAsia="Calibri" w:hAnsi="Calibri"/>
                <w:b w:val="false"/>
                <w:bCs w:val="false"/>
                <w:color w:val="444444"/>
                <w:sz w:val="18"/>
                <w:szCs w:val="18"/>
              </w:rPr>
              <w:t xml:space="preserve"> = 3; unconditional network 67,713</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 0.8 MB</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Single precision</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&lt; 1 MB</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~5,500 daily rows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Under 15 minutes</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Measured; hyperparameter search and tests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bl>
    <w:p>
      <w:pPr>
        <w:spacing w:after="240" w:before="60"/>
      </w:pPr>
      <w:r>
        <w:rPr>
          <w:rFonts w:ascii="Calibri" w:cs="Calibri" w:eastAsia="Calibri" w:hAnsi="Calibri"/>
          <w:i/>
          <w:iCs/>
          <w:color w:val="444444"/>
          <w:sz w:val="18"/>
          <w:szCs w:val="18"/>
        </w:rPr>
        <w:t>Table 3.7. Minimum computational requirements, derived from the architectures of Section 3.4.</w:t>
      </w:r>
    </w:p>
    <w:p>
      <w:pPr>
        <w:spacing w:after="160" w:line="320"/>
        <w:jc w:val="both"/>
      </w:pPr>
      <w:r>
        <w:rPr>
          <w:rFonts w:ascii="Calibri" w:cs="Calibri" w:eastAsia="Calibri" w:hAnsi="Calibri"/>
          <w:color w:val="111111"/>
          <w:sz w:val="22"/>
          <w:szCs w:val="22"/>
        </w:rPr>
        <w:t xml:space="preserve">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outside from an error in the method.</w:t>
      </w:r>
    </w:p>
    <w:p>
      <w:pPr>
        <w:pStyle w:val="Heading2"/>
        <w:spacing w:after="180" w:before="320"/>
      </w:pPr>
      <w:r>
        <w:rPr>
          <w:rFonts w:ascii="Calibri" w:cs="Calibri" w:eastAsia="Calibri" w:hAnsi="Calibri"/>
          <w:b/>
          <w:bCs/>
          <w:color w:val="111111"/>
          <w:sz w:val="26"/>
          <w:szCs w:val="26"/>
        </w:rPr>
        <w:t xml:space="preserve">3.9  Threats to Validity and Mitigation</w:t>
      </w:r>
    </w:p>
    <w:p>
      <w:pPr>
        <w:spacing w:after="160" w:line="320"/>
        <w:jc w:val="both"/>
      </w:pPr>
      <w:r>
        <w:rPr>
          <w:rFonts w:ascii="Calibri" w:cs="Calibri" w:eastAsia="Calibri" w:hAnsi="Calibri"/>
          <w:color w:val="111111"/>
          <w:sz w:val="22"/>
          <w:szCs w:val="22"/>
        </w:rPr>
        <w:t>A design is only as credible as its account of what could undermine it. Table 3.8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Table 3.8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 single market and frequency</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Declared in advance; depth preferred to breadth</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Generalisation untested; Chapter 5 returns to it</w:t>
            </w:r>
          </w:p>
        </w:tc>
      </w:tr>
    </w:tbl>
    <w:p>
      <w:pPr>
        <w:spacing w:after="240" w:before="60"/>
      </w:pPr>
      <w:r>
        <w:rPr>
          <w:rFonts w:ascii="Calibri" w:cs="Calibri" w:eastAsia="Calibri" w:hAnsi="Calibri"/>
          <w:i/>
          <w:iCs/>
          <w:color w:val="444444"/>
          <w:sz w:val="18"/>
          <w:szCs w:val="18"/>
        </w:rPr>
        <w:t>Table 3.8. Threats to validity, mitigation, and residual risk.</w:t>
      </w:r>
    </w:p>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pStyle w:val="Heading1"/>
        <w:spacing w:before="320" w:after="180"/>
      </w:pPr>
      <w:r>
        <w:rPr>
          <w:rFonts w:ascii="Calibri" w:hAnsi="Calibri"/>
          <w:b/>
        </w:rPr>
        <w:t>References</w:t>
      </w:r>
    </w:p>
    <w:p>
      <w:pPr>
        <w:spacing w:after="160" w:line="320" w:lineRule="auto"/>
        <w:ind w:left="567" w:hanging="567"/>
      </w:pPr>
      <w:r>
        <w:rPr>
          <w:rFonts w:ascii="Calibri" w:hAnsi="Calibri" w:cs="Calibri" w:eastAsia="Calibri"/>
          <w:color w:val="111111"/>
          <w:sz w:val="22"/>
        </w:rPr>
        <w:t xml:space="preserve">Andersen, T.G., Bollerslev, T., Diebold, F.X. and Labys, P., 2003. Modeling and forecasting realized volatility. </w:t>
      </w:r>
      <w:r>
        <w:rPr>
          <w:rFonts w:ascii="Calibri" w:hAnsi="Calibri" w:cs="Calibri" w:eastAsia="Calibri"/>
          <w:i/>
          <w:color w:val="111111"/>
          <w:sz w:val="22"/>
        </w:rPr>
        <w:t>Econometrica</w:t>
      </w:r>
      <w:r>
        <w:rPr>
          <w:rFonts w:ascii="Calibri" w:hAnsi="Calibri" w:cs="Calibri" w:eastAsia="Calibri"/>
          <w:color w:val="111111"/>
          <w:sz w:val="22"/>
        </w:rPr>
        <w:t>, 71(2), pp.579–625. https://doi.org/10.1111/1468-0262.00418</w:t>
      </w:r>
    </w:p>
    <w:p>
      <w:pPr>
        <w:spacing w:after="160" w:line="320" w:lineRule="auto"/>
        <w:ind w:left="567" w:hanging="567"/>
      </w:pPr>
      <w:r>
        <w:rPr>
          <w:rFonts w:ascii="Calibri" w:hAnsi="Calibri" w:cs="Calibri" w:eastAsia="Calibri"/>
          <w:color w:val="111111"/>
          <w:sz w:val="22"/>
        </w:rPr>
        <w:t xml:space="preserve">Bergstra, J. and Bengio, Y., 2012. Random search for hyper-parameter optimization. </w:t>
      </w:r>
      <w:r>
        <w:rPr>
          <w:rFonts w:ascii="Calibri" w:hAnsi="Calibri" w:cs="Calibri" w:eastAsia="Calibri"/>
          <w:i/>
          <w:color w:val="111111"/>
          <w:sz w:val="22"/>
        </w:rPr>
        <w:t>Journal of Machine Learning Research</w:t>
      </w:r>
      <w:r>
        <w:rPr>
          <w:rFonts w:ascii="Calibri" w:hAnsi="Calibri" w:cs="Calibri" w:eastAsia="Calibri"/>
          <w:color w:val="111111"/>
          <w:sz w:val="22"/>
        </w:rPr>
        <w:t>, 13(10), pp.281–305. https://jmlr.org/papers/v13/bergstra12a.html</w:t>
      </w:r>
    </w:p>
    <w:p>
      <w:pPr>
        <w:spacing w:after="160" w:line="320" w:lineRule="auto"/>
        <w:ind w:left="567" w:hanging="567"/>
      </w:pPr>
      <w:r>
        <w:rPr>
          <w:rFonts w:ascii="Calibri" w:hAnsi="Calibri" w:cs="Calibri" w:eastAsia="Calibri"/>
          <w:color w:val="111111"/>
          <w:sz w:val="22"/>
        </w:rPr>
        <w:t xml:space="preserve">Bollerslev, T., 1986. Generalized autoregressive conditional heteroskedasticity. </w:t>
      </w:r>
      <w:r>
        <w:rPr>
          <w:rFonts w:ascii="Calibri" w:hAnsi="Calibri" w:cs="Calibri" w:eastAsia="Calibri"/>
          <w:i/>
          <w:color w:val="111111"/>
          <w:sz w:val="22"/>
        </w:rPr>
        <w:t>Journal of Econometrics</w:t>
      </w:r>
      <w:r>
        <w:rPr>
          <w:rFonts w:ascii="Calibri" w:hAnsi="Calibri" w:cs="Calibri" w:eastAsia="Calibri"/>
          <w:color w:val="111111"/>
          <w:sz w:val="22"/>
        </w:rPr>
        <w:t>, 31(3), pp.307–327. https://doi.org/10.1016/0304-4076(86)90063-1</w:t>
      </w:r>
    </w:p>
    <w:p>
      <w:pPr>
        <w:spacing w:after="160" w:line="320" w:lineRule="auto"/>
        <w:ind w:left="567" w:hanging="567"/>
      </w:pPr>
      <w:r>
        <w:rPr>
          <w:rFonts w:ascii="Calibri" w:hAnsi="Calibri" w:cs="Calibri" w:eastAsia="Calibri"/>
          <w:color w:val="111111"/>
          <w:sz w:val="22"/>
        </w:rPr>
        <w:t xml:space="preserve">Christoffersen, P.F., 1998. Evaluating interval forecasts. </w:t>
      </w:r>
      <w:r>
        <w:rPr>
          <w:rFonts w:ascii="Calibri" w:hAnsi="Calibri" w:cs="Calibri" w:eastAsia="Calibri"/>
          <w:i/>
          <w:color w:val="111111"/>
          <w:sz w:val="22"/>
        </w:rPr>
        <w:t>International Economic Review</w:t>
      </w:r>
      <w:r>
        <w:rPr>
          <w:rFonts w:ascii="Calibri" w:hAnsi="Calibri" w:cs="Calibri" w:eastAsia="Calibri"/>
          <w:color w:val="111111"/>
          <w:sz w:val="22"/>
        </w:rPr>
        <w:t>, 39(4), pp.841–862. https://doi.org/10.2307/2527341</w:t>
      </w:r>
    </w:p>
    <w:p>
      <w:pPr>
        <w:spacing w:after="160" w:line="320" w:lineRule="auto"/>
        <w:ind w:left="567" w:hanging="567"/>
      </w:pPr>
      <w:r>
        <w:rPr>
          <w:rFonts w:ascii="Calibri" w:hAnsi="Calibri" w:cs="Calibri" w:eastAsia="Calibri"/>
          <w:color w:val="111111"/>
          <w:sz w:val="22"/>
        </w:rPr>
        <w:t xml:space="preserve">Corsi, F., 2009. A simple approximate long-memory model of realized volatility. </w:t>
      </w:r>
      <w:r>
        <w:rPr>
          <w:rFonts w:ascii="Calibri" w:hAnsi="Calibri" w:cs="Calibri" w:eastAsia="Calibri"/>
          <w:i/>
          <w:color w:val="111111"/>
          <w:sz w:val="22"/>
        </w:rPr>
        <w:t>Journal of Financial Econometrics</w:t>
      </w:r>
      <w:r>
        <w:rPr>
          <w:rFonts w:ascii="Calibri" w:hAnsi="Calibri" w:cs="Calibri" w:eastAsia="Calibri"/>
          <w:color w:val="111111"/>
          <w:sz w:val="22"/>
        </w:rPr>
        <w:t>, 7(2), pp.174–196. https://doi.org/10.1093/jjfinec/nbp001</w:t>
      </w:r>
    </w:p>
    <w:p>
      <w:pPr>
        <w:spacing w:after="160" w:line="320" w:lineRule="auto"/>
        <w:ind w:left="567" w:hanging="567"/>
      </w:pPr>
      <w:r>
        <w:rPr>
          <w:rFonts w:ascii="Calibri" w:hAnsi="Calibri" w:cs="Calibri" w:eastAsia="Calibri"/>
          <w:color w:val="111111"/>
          <w:sz w:val="22"/>
        </w:rPr>
        <w:t xml:space="preserve">Diebold, F.X. and Mariano, R.S., 1995. Comparing predictive accuracy. </w:t>
      </w:r>
      <w:r>
        <w:rPr>
          <w:rFonts w:ascii="Calibri" w:hAnsi="Calibri" w:cs="Calibri" w:eastAsia="Calibri"/>
          <w:i/>
          <w:color w:val="111111"/>
          <w:sz w:val="22"/>
        </w:rPr>
        <w:t>Journal of Business &amp; Economic Statistics</w:t>
      </w:r>
      <w:r>
        <w:rPr>
          <w:rFonts w:ascii="Calibri" w:hAnsi="Calibri" w:cs="Calibri" w:eastAsia="Calibri"/>
          <w:color w:val="111111"/>
          <w:sz w:val="22"/>
        </w:rPr>
        <w:t>, 13(3), pp.253–263. https://doi.org/10.1080/07350015.1995.10524599</w:t>
      </w:r>
    </w:p>
    <w:p>
      <w:pPr>
        <w:spacing w:after="160" w:line="320" w:lineRule="auto"/>
        <w:ind w:left="567" w:hanging="567"/>
      </w:pPr>
      <w:r>
        <w:rPr>
          <w:rFonts w:ascii="Calibri" w:hAnsi="Calibri" w:cs="Calibri" w:eastAsia="Calibri"/>
          <w:color w:val="111111"/>
          <w:sz w:val="22"/>
        </w:rPr>
        <w:t xml:space="preserve">Duan, N., 1983. Smearing estimate: a nonparametric retransformation method.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78(383), pp.605–610. https://doi.org/10.1080/01621459.1983.10478017</w:t>
      </w:r>
    </w:p>
    <w:p>
      <w:pPr>
        <w:spacing w:after="160" w:line="320" w:lineRule="auto"/>
        <w:ind w:left="567" w:hanging="567"/>
      </w:pPr>
      <w:r>
        <w:rPr>
          <w:rFonts w:ascii="Calibri" w:hAnsi="Calibri" w:cs="Calibri" w:eastAsia="Calibri"/>
          <w:color w:val="111111"/>
          <w:sz w:val="22"/>
        </w:rPr>
        <w:t xml:space="preserve">Engle, R.F. and Manganelli, S., 2004. CAViaR: conditional autoregressive value at risk by regression quantiles. </w:t>
      </w:r>
      <w:r>
        <w:rPr>
          <w:rFonts w:ascii="Calibri" w:hAnsi="Calibri" w:cs="Calibri" w:eastAsia="Calibri"/>
          <w:i/>
          <w:color w:val="111111"/>
          <w:sz w:val="22"/>
        </w:rPr>
        <w:t>Journal of Business &amp; Economic Statistics</w:t>
      </w:r>
      <w:r>
        <w:rPr>
          <w:rFonts w:ascii="Calibri" w:hAnsi="Calibri" w:cs="Calibri" w:eastAsia="Calibri"/>
          <w:color w:val="111111"/>
          <w:sz w:val="22"/>
        </w:rPr>
        <w:t>, 22(4), pp.367–381. https://doi.org/10.1198/073500104000000370</w:t>
      </w:r>
    </w:p>
    <w:p>
      <w:pPr>
        <w:spacing w:after="160" w:line="320" w:lineRule="auto"/>
        <w:ind w:left="567" w:hanging="567"/>
      </w:pPr>
      <w:r>
        <w:rPr>
          <w:rFonts w:ascii="Calibri" w:hAnsi="Calibri" w:cs="Calibri" w:eastAsia="Calibri"/>
          <w:color w:val="111111"/>
          <w:sz w:val="22"/>
        </w:rPr>
        <w:t xml:space="preserve">Gal, Y. and Ghahramani, Z., 2016. Dropout as a Bayesian approximation: representing model uncertainty in deep learning. In: </w:t>
      </w:r>
      <w:r>
        <w:rPr>
          <w:rFonts w:ascii="Calibri" w:hAnsi="Calibri" w:cs="Calibri" w:eastAsia="Calibri"/>
          <w:i/>
          <w:color w:val="111111"/>
          <w:sz w:val="22"/>
        </w:rPr>
        <w:t>Proceedings of the 33rd International Conference on Machine Learning (ICML)</w:t>
      </w:r>
      <w:r>
        <w:rPr>
          <w:rFonts w:ascii="Calibri" w:hAnsi="Calibri" w:cs="Calibri" w:eastAsia="Calibri"/>
          <w:color w:val="111111"/>
          <w:sz w:val="22"/>
        </w:rPr>
        <w:t>, New York, USA, 19–24 June 2016. PMLR 48, pp.1050–1059.</w:t>
      </w:r>
    </w:p>
    <w:p>
      <w:pPr>
        <w:spacing w:after="160" w:line="320" w:lineRule="auto"/>
        <w:ind w:left="567" w:hanging="567"/>
      </w:pPr>
      <w:r>
        <w:rPr>
          <w:rFonts w:ascii="Calibri" w:hAnsi="Calibri" w:cs="Calibri" w:eastAsia="Calibri"/>
          <w:color w:val="111111"/>
          <w:sz w:val="22"/>
        </w:rPr>
        <w:t xml:space="preserve">Giacomini, R. and White, H., 2006. Tests of conditional predictive ability. </w:t>
      </w:r>
      <w:r>
        <w:rPr>
          <w:rFonts w:ascii="Calibri" w:hAnsi="Calibri" w:cs="Calibri" w:eastAsia="Calibri"/>
          <w:i/>
          <w:color w:val="111111"/>
          <w:sz w:val="22"/>
        </w:rPr>
        <w:t>Econometrica</w:t>
      </w:r>
      <w:r>
        <w:rPr>
          <w:rFonts w:ascii="Calibri" w:hAnsi="Calibri" w:cs="Calibri" w:eastAsia="Calibri"/>
          <w:color w:val="111111"/>
          <w:sz w:val="22"/>
        </w:rPr>
        <w:t>, 74(6), pp.1545–1578. https://doi.org/10.1111/j.1468-0262.2006.00718.x</w:t>
      </w:r>
    </w:p>
    <w:p>
      <w:pPr>
        <w:spacing w:after="160" w:line="320" w:lineRule="auto"/>
        <w:ind w:left="567" w:hanging="567"/>
      </w:pPr>
      <w:r>
        <w:rPr>
          <w:rFonts w:ascii="Calibri" w:hAnsi="Calibri" w:cs="Calibri" w:eastAsia="Calibri"/>
          <w:color w:val="111111"/>
          <w:sz w:val="22"/>
        </w:rPr>
        <w:t xml:space="preserve">Gneiting, T. and Raftery, A.E., 2007. Strictly proper scoring rules, prediction, and estimation.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xml:space="preserve">, 102(477), pp.359–378. </w:t>
      </w:r>
      <w:r>
        <w:rPr>
          <w:rFonts w:ascii="Calibri" w:hAnsi="Calibri" w:cs="Calibri" w:eastAsia="Calibri"/>
          <w:color w:val="111111"/>
          <w:sz w:val="22"/>
        </w:rPr>
        <w:t>https://doi.org/10.1198/016214506000001437</w:t>
      </w:r>
    </w:p>
    <w:p>
      <w:pPr>
        <w:spacing w:after="160" w:line="320" w:lineRule="auto"/>
        <w:ind w:left="567" w:hanging="567"/>
      </w:pPr>
      <w:r>
        <w:rPr>
          <w:rFonts w:ascii="Calibri" w:hAnsi="Calibri" w:cs="Calibri" w:eastAsia="Calibri"/>
          <w:color w:val="111111"/>
          <w:sz w:val="22"/>
        </w:rPr>
        <w:t xml:space="preserve">Hamilton, J.D., 1989. A new approach to the economic analysis of nonstationary time series and the business cycle. </w:t>
      </w:r>
      <w:r>
        <w:rPr>
          <w:rFonts w:ascii="Calibri" w:hAnsi="Calibri" w:cs="Calibri" w:eastAsia="Calibri"/>
          <w:i/>
          <w:color w:val="111111"/>
          <w:sz w:val="22"/>
        </w:rPr>
        <w:t>Econometrica</w:t>
      </w:r>
      <w:r>
        <w:rPr>
          <w:rFonts w:ascii="Calibri" w:hAnsi="Calibri" w:cs="Calibri" w:eastAsia="Calibri"/>
          <w:color w:val="111111"/>
          <w:sz w:val="22"/>
        </w:rPr>
        <w:t>, 57(2), pp.357–384. https://doi.org/10.2307/1912559</w:t>
      </w:r>
    </w:p>
    <w:p>
      <w:pPr>
        <w:spacing w:after="160" w:line="320" w:lineRule="auto"/>
        <w:ind w:left="567" w:hanging="567"/>
      </w:pPr>
      <w:r>
        <w:rPr>
          <w:rFonts w:ascii="Calibri" w:hAnsi="Calibri" w:cs="Calibri" w:eastAsia="Calibri"/>
          <w:color w:val="111111"/>
          <w:sz w:val="22"/>
        </w:rPr>
        <w:t xml:space="preserve">Hansen, P.R., Lunde, A. and Nason, J.M., 2011. The model confidence set. </w:t>
      </w:r>
      <w:r>
        <w:rPr>
          <w:rFonts w:ascii="Calibri" w:hAnsi="Calibri" w:cs="Calibri" w:eastAsia="Calibri"/>
          <w:i/>
          <w:color w:val="111111"/>
          <w:sz w:val="22"/>
        </w:rPr>
        <w:t>Econometrica</w:t>
      </w:r>
      <w:r>
        <w:rPr>
          <w:rFonts w:ascii="Calibri" w:hAnsi="Calibri" w:cs="Calibri" w:eastAsia="Calibri"/>
          <w:color w:val="111111"/>
          <w:sz w:val="22"/>
        </w:rPr>
        <w:t>, 79(2), pp.453–497. https://doi.org/10.3982/ECTA5771</w:t>
      </w:r>
    </w:p>
    <w:p>
      <w:pPr>
        <w:spacing w:after="160" w:line="320" w:lineRule="auto"/>
        <w:ind w:left="567" w:hanging="567"/>
      </w:pPr>
      <w:r>
        <w:rPr>
          <w:rFonts w:ascii="Calibri" w:hAnsi="Calibri" w:cs="Calibri" w:eastAsia="Calibri"/>
          <w:color w:val="111111"/>
          <w:sz w:val="22"/>
        </w:rPr>
        <w:t xml:space="preserve">Harvey, D., Leybourne, S. and Newbold, P., 1997. Testing the equality of prediction mean squared errors. </w:t>
      </w:r>
      <w:r>
        <w:rPr>
          <w:rFonts w:ascii="Calibri" w:hAnsi="Calibri" w:cs="Calibri" w:eastAsia="Calibri"/>
          <w:i/>
          <w:color w:val="111111"/>
          <w:sz w:val="22"/>
        </w:rPr>
        <w:t>International Journal of Forecasting</w:t>
      </w:r>
      <w:r>
        <w:rPr>
          <w:rFonts w:ascii="Calibri" w:hAnsi="Calibri" w:cs="Calibri" w:eastAsia="Calibri"/>
          <w:color w:val="111111"/>
          <w:sz w:val="22"/>
        </w:rPr>
        <w:t>, 13(2), pp.281–291. https://doi.org/10.1016/S0169-2070(96)00719-4</w:t>
      </w:r>
    </w:p>
    <w:p>
      <w:pPr>
        <w:spacing w:after="160" w:line="320" w:lineRule="auto"/>
        <w:ind w:left="567" w:hanging="567"/>
      </w:pPr>
      <w:r>
        <w:rPr>
          <w:rFonts w:ascii="Calibri" w:hAnsi="Calibri" w:cs="Calibri" w:eastAsia="Calibri"/>
          <w:color w:val="111111"/>
          <w:sz w:val="22"/>
        </w:rPr>
        <w:t xml:space="preserve">Hochreiter, S. and Schmidhuber, J., 1997. </w:t>
      </w:r>
      <w:r>
        <w:rPr>
          <w:rFonts w:ascii="Calibri" w:hAnsi="Calibri" w:cs="Calibri" w:eastAsia="Calibri"/>
          <w:color w:val="111111"/>
          <w:sz w:val="22"/>
        </w:rPr>
        <w:t xml:space="preserve">Long short-term memory. </w:t>
      </w:r>
      <w:r>
        <w:rPr>
          <w:rFonts w:ascii="Calibri" w:hAnsi="Calibri" w:cs="Calibri" w:eastAsia="Calibri"/>
          <w:i/>
          <w:color w:val="111111"/>
          <w:sz w:val="22"/>
        </w:rPr>
        <w:t>Neural Computation</w:t>
      </w:r>
      <w:r>
        <w:rPr>
          <w:rFonts w:ascii="Calibri" w:hAnsi="Calibri" w:cs="Calibri" w:eastAsia="Calibri"/>
          <w:color w:val="111111"/>
          <w:sz w:val="22"/>
        </w:rPr>
        <w:t>, 9(8), pp.1735–1780. https://doi.org/10.1162/neco.1997.9.8.1735</w:t>
      </w:r>
    </w:p>
    <w:p>
      <w:pPr>
        <w:spacing w:after="160" w:line="320" w:lineRule="auto"/>
        <w:ind w:left="567" w:hanging="567"/>
      </w:pPr>
      <w:r>
        <w:rPr>
          <w:rFonts w:ascii="Calibri" w:hAnsi="Calibri" w:cs="Calibri" w:eastAsia="Calibri"/>
          <w:color w:val="111111"/>
          <w:sz w:val="22"/>
        </w:rPr>
        <w:t xml:space="preserve">Holm, S., 1979. A simple sequentially rejective multiple test procedure. </w:t>
      </w:r>
      <w:r>
        <w:rPr>
          <w:rFonts w:ascii="Calibri" w:hAnsi="Calibri" w:cs="Calibri" w:eastAsia="Calibri"/>
          <w:i/>
          <w:color w:val="111111"/>
          <w:sz w:val="22"/>
        </w:rPr>
        <w:t>Scandinavian Journal of Statistics</w:t>
      </w:r>
      <w:r>
        <w:rPr>
          <w:rFonts w:ascii="Calibri" w:hAnsi="Calibri" w:cs="Calibri" w:eastAsia="Calibri"/>
          <w:color w:val="111111"/>
          <w:sz w:val="22"/>
        </w:rPr>
        <w:t>, 6(2), pp.65–70.</w:t>
      </w:r>
    </w:p>
    <w:p>
      <w:pPr>
        <w:spacing w:after="160" w:line="320" w:lineRule="auto"/>
        <w:ind w:left="567" w:hanging="567"/>
      </w:pPr>
      <w:r>
        <w:rPr>
          <w:rFonts w:ascii="Calibri" w:hAnsi="Calibri" w:cs="Calibri" w:eastAsia="Calibri"/>
          <w:color w:val="111111"/>
          <w:sz w:val="22"/>
        </w:rPr>
        <w:t xml:space="preserve">Jacobs, R.A., Jordan, M.I., Nowlan, S.J. and Hinton, G.E., 1991. Adaptive mixtures of local experts. </w:t>
      </w:r>
      <w:r>
        <w:rPr>
          <w:rFonts w:ascii="Calibri" w:hAnsi="Calibri" w:cs="Calibri" w:eastAsia="Calibri"/>
          <w:i/>
          <w:color w:val="111111"/>
          <w:sz w:val="22"/>
        </w:rPr>
        <w:t>Neural Computation</w:t>
      </w:r>
      <w:r>
        <w:rPr>
          <w:rFonts w:ascii="Calibri" w:hAnsi="Calibri" w:cs="Calibri" w:eastAsia="Calibri"/>
          <w:color w:val="111111"/>
          <w:sz w:val="22"/>
        </w:rPr>
        <w:t>, 3(1), pp.79–87. https://doi.org/10.1162/neco.1991.3.1.79</w:t>
      </w:r>
    </w:p>
    <w:p>
      <w:pPr>
        <w:spacing w:after="160" w:line="320" w:lineRule="auto"/>
        <w:ind w:left="567" w:hanging="567"/>
      </w:pPr>
      <w:r>
        <w:rPr>
          <w:rFonts w:ascii="Calibri" w:hAnsi="Calibri" w:cs="Calibri" w:eastAsia="Calibri"/>
          <w:color w:val="111111"/>
          <w:sz w:val="22"/>
        </w:rPr>
        <w:t xml:space="preserve">Koenker, R. and Bassett, G., 1978. Regression quantiles. </w:t>
      </w:r>
      <w:r>
        <w:rPr>
          <w:rFonts w:ascii="Calibri" w:hAnsi="Calibri" w:cs="Calibri" w:eastAsia="Calibri"/>
          <w:i/>
          <w:color w:val="111111"/>
          <w:sz w:val="22"/>
        </w:rPr>
        <w:t>Econometrica</w:t>
      </w:r>
      <w:r>
        <w:rPr>
          <w:rFonts w:ascii="Calibri" w:hAnsi="Calibri" w:cs="Calibri" w:eastAsia="Calibri"/>
          <w:color w:val="111111"/>
          <w:sz w:val="22"/>
        </w:rPr>
        <w:t>, 46(1), pp.33–50. https://doi.org/10.2307/1913643</w:t>
      </w:r>
    </w:p>
    <w:p>
      <w:pPr>
        <w:spacing w:after="160" w:line="320" w:lineRule="auto"/>
        <w:ind w:left="567" w:hanging="567"/>
      </w:pPr>
      <w:r>
        <w:rPr>
          <w:rFonts w:ascii="Calibri" w:hAnsi="Calibri" w:cs="Calibri" w:eastAsia="Calibri"/>
          <w:color w:val="111111"/>
          <w:sz w:val="22"/>
        </w:rPr>
        <w:t xml:space="preserve">Kupiec, P.H., 1995. Techniques for verifying the accuracy of risk measurement models. </w:t>
      </w:r>
      <w:r>
        <w:rPr>
          <w:rFonts w:ascii="Calibri" w:hAnsi="Calibri" w:cs="Calibri" w:eastAsia="Calibri"/>
          <w:i/>
          <w:color w:val="111111"/>
          <w:sz w:val="22"/>
        </w:rPr>
        <w:t>The Journal of Derivatives</w:t>
      </w:r>
      <w:r>
        <w:rPr>
          <w:rFonts w:ascii="Calibri" w:hAnsi="Calibri" w:cs="Calibri" w:eastAsia="Calibri"/>
          <w:color w:val="111111"/>
          <w:sz w:val="22"/>
        </w:rPr>
        <w:t>, 3(2), pp.73–84. https://doi.org/10.3905/jod.1995.407942</w:t>
      </w:r>
    </w:p>
    <w:p>
      <w:pPr>
        <w:spacing w:after="160" w:line="320" w:lineRule="auto"/>
        <w:ind w:left="567" w:hanging="567"/>
      </w:pPr>
      <w:r>
        <w:rPr>
          <w:rFonts w:ascii="Calibri" w:hAnsi="Calibri" w:cs="Calibri" w:eastAsia="Calibri"/>
          <w:color w:val="111111"/>
          <w:sz w:val="22"/>
        </w:rPr>
        <w:t xml:space="preserve">Lim, B. and Zohren, S., 2021. Time-series forecasting with deep learning: a survey. </w:t>
      </w:r>
      <w:r>
        <w:rPr>
          <w:rFonts w:ascii="Calibri" w:hAnsi="Calibri" w:cs="Calibri" w:eastAsia="Calibri"/>
          <w:i/>
          <w:color w:val="111111"/>
          <w:sz w:val="22"/>
        </w:rPr>
        <w:t>Philosophical Transactions of the Royal Society A</w:t>
      </w:r>
      <w:r>
        <w:rPr>
          <w:rFonts w:ascii="Calibri" w:hAnsi="Calibri" w:cs="Calibri" w:eastAsia="Calibri"/>
          <w:color w:val="111111"/>
          <w:sz w:val="22"/>
        </w:rPr>
        <w:t xml:space="preserve">, 379(2194), 20200209. </w:t>
      </w:r>
      <w:r>
        <w:rPr>
          <w:rFonts w:ascii="Calibri" w:hAnsi="Calibri" w:cs="Calibri" w:eastAsia="Calibri"/>
          <w:color w:val="111111"/>
          <w:sz w:val="22"/>
        </w:rPr>
        <w:t>https://doi.org/10.1098/rsta.2020.0209</w:t>
      </w:r>
    </w:p>
    <w:p>
      <w:pPr>
        <w:spacing w:after="160" w:line="320" w:lineRule="auto"/>
        <w:ind w:left="567" w:hanging="567"/>
      </w:pPr>
      <w:r>
        <w:rPr>
          <w:rFonts w:ascii="Calibri" w:hAnsi="Calibri" w:cs="Calibri" w:eastAsia="Calibri"/>
          <w:color w:val="111111"/>
          <w:sz w:val="22"/>
        </w:rPr>
        <w:t xml:space="preserve">Lim, B., Arık, S.Ö., Loeff, N. and Pfister, T., 2021. Temporal fusion transformers for interpretable multi-horizon time series forecasting. </w:t>
      </w:r>
      <w:r>
        <w:rPr>
          <w:rFonts w:ascii="Calibri" w:hAnsi="Calibri" w:cs="Calibri" w:eastAsia="Calibri"/>
          <w:i/>
          <w:color w:val="111111"/>
          <w:sz w:val="22"/>
        </w:rPr>
        <w:t>International Journal of Forecasting</w:t>
      </w:r>
      <w:r>
        <w:rPr>
          <w:rFonts w:ascii="Calibri" w:hAnsi="Calibri" w:cs="Calibri" w:eastAsia="Calibri"/>
          <w:color w:val="111111"/>
          <w:sz w:val="22"/>
        </w:rPr>
        <w:t>, 37(4), pp.1748–1764. https://doi.org/10.1016/j.ijforecast.2021.03.012</w:t>
      </w:r>
    </w:p>
    <w:p>
      <w:pPr>
        <w:spacing w:after="160" w:line="320" w:lineRule="auto"/>
        <w:ind w:left="567" w:hanging="567"/>
      </w:pPr>
      <w:r>
        <w:rPr>
          <w:rFonts w:ascii="Calibri" w:hAnsi="Calibri" w:cs="Calibri" w:eastAsia="Calibri"/>
          <w:color w:val="111111"/>
          <w:sz w:val="22"/>
        </w:rPr>
        <w:t xml:space="preserve">Liu, L.Y., Patton, A.J. and Sheppard, K., 2015. Does anything beat 5-minute RV? A comparison of realized measures across multiple asset classes. </w:t>
      </w:r>
      <w:r>
        <w:rPr>
          <w:rFonts w:ascii="Calibri" w:hAnsi="Calibri" w:cs="Calibri" w:eastAsia="Calibri"/>
          <w:i/>
          <w:color w:val="111111"/>
          <w:sz w:val="22"/>
        </w:rPr>
        <w:t>Journal of Econometrics</w:t>
      </w:r>
      <w:r>
        <w:rPr>
          <w:rFonts w:ascii="Calibri" w:hAnsi="Calibri" w:cs="Calibri" w:eastAsia="Calibri"/>
          <w:color w:val="111111"/>
          <w:sz w:val="22"/>
        </w:rPr>
        <w:t>, 187(1), pp.293–311. https://doi.org/10.1016/j.jeconom.2015.02.008</w:t>
      </w:r>
    </w:p>
    <w:p>
      <w:pPr>
        <w:spacing w:after="160" w:line="320" w:lineRule="auto"/>
        <w:ind w:left="567" w:hanging="567"/>
      </w:pPr>
      <w:r>
        <w:rPr>
          <w:rFonts w:ascii="Calibri" w:hAnsi="Calibri" w:cs="Calibri" w:eastAsia="Calibri"/>
          <w:color w:val="111111"/>
          <w:sz w:val="22"/>
        </w:rPr>
        <w:t xml:space="preserve">Nelson, D.B., 1991. Conditional heteroskedasticity in asset returns: a new approach. </w:t>
      </w:r>
      <w:r>
        <w:rPr>
          <w:rFonts w:ascii="Calibri" w:hAnsi="Calibri" w:cs="Calibri" w:eastAsia="Calibri"/>
          <w:i/>
          <w:color w:val="111111"/>
          <w:sz w:val="22"/>
        </w:rPr>
        <w:t>Econometrica</w:t>
      </w:r>
      <w:r>
        <w:rPr>
          <w:rFonts w:ascii="Calibri" w:hAnsi="Calibri" w:cs="Calibri" w:eastAsia="Calibri"/>
          <w:color w:val="111111"/>
          <w:sz w:val="22"/>
        </w:rPr>
        <w:t>, 59(2), pp.347–370. https://doi.org/10.2307/2938260</w:t>
      </w:r>
    </w:p>
    <w:p>
      <w:pPr>
        <w:spacing w:after="160" w:line="320" w:lineRule="auto"/>
        <w:ind w:left="567" w:hanging="567"/>
      </w:pPr>
      <w:r>
        <w:rPr>
          <w:rFonts w:ascii="Calibri" w:hAnsi="Calibri" w:cs="Calibri" w:eastAsia="Calibri"/>
          <w:color w:val="111111"/>
          <w:sz w:val="22"/>
        </w:rPr>
        <w:t xml:space="preserve">Newey, W.K. and West, K.D., 1987. A simple, positive semi-definite, heteroskedasticity and autocorrelation consistent covariance matrix. </w:t>
      </w:r>
      <w:r>
        <w:rPr>
          <w:rFonts w:ascii="Calibri" w:hAnsi="Calibri" w:cs="Calibri" w:eastAsia="Calibri"/>
          <w:i/>
          <w:color w:val="111111"/>
          <w:sz w:val="22"/>
        </w:rPr>
        <w:t>Econometrica</w:t>
      </w:r>
      <w:r>
        <w:rPr>
          <w:rFonts w:ascii="Calibri" w:hAnsi="Calibri" w:cs="Calibri" w:eastAsia="Calibri"/>
          <w:color w:val="111111"/>
          <w:sz w:val="22"/>
        </w:rPr>
        <w:t>, 55(3), pp.703–708. https://doi.org/10.2307/1913610</w:t>
      </w:r>
    </w:p>
    <w:p>
      <w:pPr>
        <w:spacing w:after="160" w:line="320" w:lineRule="auto"/>
        <w:ind w:left="567" w:hanging="567"/>
      </w:pPr>
      <w:r>
        <w:rPr>
          <w:rFonts w:ascii="Calibri" w:hAnsi="Calibri" w:cs="Calibri" w:eastAsia="Calibri"/>
          <w:color w:val="111111"/>
          <w:sz w:val="22"/>
        </w:rPr>
        <w:t xml:space="preserve">Nystrup, P., Lindström, E. and Madsen, H., 2020. Learning hidden Markov models with persistent states by penalizing jumps. </w:t>
      </w:r>
      <w:r>
        <w:rPr>
          <w:rFonts w:ascii="Calibri" w:hAnsi="Calibri" w:cs="Calibri" w:eastAsia="Calibri"/>
          <w:i/>
          <w:color w:val="111111"/>
          <w:sz w:val="22"/>
        </w:rPr>
        <w:t>Expert Systems with Applications</w:t>
      </w:r>
      <w:r>
        <w:rPr>
          <w:rFonts w:ascii="Calibri" w:hAnsi="Calibri" w:cs="Calibri" w:eastAsia="Calibri"/>
          <w:color w:val="111111"/>
          <w:sz w:val="22"/>
        </w:rPr>
        <w:t>, 150, 113307. https://doi.org/10.1016/j.eswa.2020.113307</w:t>
      </w:r>
    </w:p>
    <w:p>
      <w:pPr>
        <w:spacing w:after="160" w:line="320" w:lineRule="auto"/>
        <w:ind w:left="567" w:hanging="567"/>
      </w:pPr>
      <w:r>
        <w:rPr>
          <w:rFonts w:ascii="Calibri" w:hAnsi="Calibri" w:cs="Calibri" w:eastAsia="Calibri"/>
          <w:color w:val="111111"/>
          <w:sz w:val="22"/>
        </w:rPr>
        <w:t xml:space="preserve">Patton, A.J., 2011. Volatility forecast comparison using imperfect volatility proxies. </w:t>
      </w:r>
      <w:r>
        <w:rPr>
          <w:rFonts w:ascii="Calibri" w:hAnsi="Calibri" w:cs="Calibri" w:eastAsia="Calibri"/>
          <w:i/>
          <w:color w:val="111111"/>
          <w:sz w:val="22"/>
        </w:rPr>
        <w:t>Journal of Econometrics</w:t>
      </w:r>
      <w:r>
        <w:rPr>
          <w:rFonts w:ascii="Calibri" w:hAnsi="Calibri" w:cs="Calibri" w:eastAsia="Calibri"/>
          <w:color w:val="111111"/>
          <w:sz w:val="22"/>
        </w:rPr>
        <w:t xml:space="preserve">, 160(1), pp.246–256. https://doi.org/10.1016/j.jeconom.2010.03.034 </w:t>
      </w:r>
    </w:p>
    <w:p>
      <w:pPr>
        <w:spacing w:after="160" w:line="320" w:lineRule="auto"/>
        <w:ind w:left="567" w:hanging="567"/>
      </w:pPr>
      <w:r>
        <w:rPr>
          <w:rFonts w:ascii="Calibri" w:hAnsi="Calibri" w:cs="Calibri" w:eastAsia="Calibri"/>
          <w:color w:val="111111"/>
          <w:sz w:val="22"/>
        </w:rPr>
        <w:t xml:space="preserve">Politis, D.N. and Romano, J.P., 1994. The stationary bootstrap.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89(428), pp.1303–1313. https://doi.org/10.1080/01621459.1994.10476870</w:t>
      </w:r>
    </w:p>
    <w:p>
      <w:pPr>
        <w:spacing w:after="160" w:line="320" w:lineRule="auto"/>
        <w:ind w:left="567" w:hanging="567"/>
      </w:pPr>
      <w:r>
        <w:rPr>
          <w:rFonts w:ascii="Calibri" w:hAnsi="Calibri" w:cs="Calibri" w:eastAsia="Calibri"/>
          <w:color w:val="111111"/>
          <w:sz w:val="22"/>
        </w:rPr>
        <w:t xml:space="preserve">Vaswani, A., Shazeer, N., Parmar, N., Uszkoreit, J., Jones, L., Gomez, A.N., Kaiser, Ł. and Polosukhin, I., 2017. Attention is all you need. In: </w:t>
      </w:r>
      <w:r>
        <w:rPr>
          <w:rFonts w:ascii="Calibri" w:hAnsi="Calibri" w:cs="Calibri" w:eastAsia="Calibri"/>
          <w:i/>
          <w:color w:val="111111"/>
          <w:sz w:val="22"/>
        </w:rPr>
        <w:t>Advances in Neural Information Processing Systems 30 (NeurIPS 2017)</w:t>
      </w:r>
      <w:r>
        <w:rPr>
          <w:rFonts w:ascii="Calibri" w:hAnsi="Calibri" w:cs="Calibri" w:eastAsia="Calibri"/>
          <w:color w:val="111111"/>
          <w:sz w:val="22"/>
        </w:rPr>
        <w:t>.</w:t>
      </w:r>
    </w:p>
    <w:p>
      <w:pPr>
        <w:spacing w:after="160" w:line="320" w:lineRule="auto"/>
        <w:ind w:left="567" w:hanging="567"/>
      </w:pPr>
      <w:r>
        <w:rPr>
          <w:rFonts w:ascii="Calibri" w:hAnsi="Calibri" w:cs="Calibri" w:eastAsia="Calibri"/>
          <w:color w:val="111111"/>
          <w:sz w:val="22"/>
        </w:rPr>
        <w:t xml:space="preserve">Zeng, A., Chen, M., Zhang, L. and Xu, Q., 2023. Are transformers effective for time series forecasting? </w:t>
      </w:r>
      <w:r>
        <w:rPr>
          <w:rFonts w:ascii="Calibri" w:hAnsi="Calibri" w:cs="Calibri" w:eastAsia="Calibri"/>
          <w:i/>
          <w:color w:val="111111"/>
          <w:sz w:val="22"/>
        </w:rPr>
        <w:t>Proceedings of the AAAI Conference on Artificial Intelligence</w:t>
      </w:r>
      <w:r>
        <w:rPr>
          <w:rFonts w:ascii="Calibri" w:hAnsi="Calibri" w:cs="Calibri" w:eastAsia="Calibri"/>
          <w:color w:val="111111"/>
          <w:sz w:val="22"/>
        </w:rP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