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320"/>
      </w:pPr>
      <w:r>
        <w:rPr>
          <w:rFonts w:ascii="Calibri" w:cs="Calibri" w:eastAsia="Calibri" w:hAnsi="Calibri"/>
          <w:b/>
          <w:bCs/>
          <w:color w:val="111111"/>
          <w:sz w:val="30"/>
          <w:szCs w:val="30"/>
        </w:rPr>
        <w:t xml:space="preserve">Methodology</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t>This chapter specifies the method: the data it requires, how each component is built, how its parameters are chosen, and how forecasts are judged. It is written to be reproducible without sight of the implementation and to apply to any dataset meeting Section 3.2's requirements; the values these procedures return belong to Chapter 4.</w:t>
      </w:r>
    </w:p>
    <w:p>
      <w:pPr>
        <w:spacing w:after="160" w:line="320"/>
        <w:jc w:val="both"/>
      </w:pPr>
      <w:r>
        <w:t>The paradigm is a controlled comparative evaluation. Chapter 2 found the gap to be one of integration rather than invention, the econometric, regime-switching, deep-learning and uncertainty-quantification traditions having matured separately, so the object under test is the assembled pipeline rather than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scores.</w:t>
      </w:r>
    </w:p>
    <w:p>
      <w:pPr>
        <w:spacing w:after="160" w:line="320"/>
        <w:jc w:val="both"/>
      </w:pPr>
      <w:r>
        <w:t xml:space="preserve">Figure 3.1 shows the pipeline: Sections 3.2 to 3.5 specify its first five stages and Section 3.7 the sixth, with Section 3.6 governing their refit cadence. The target is realised variance rather than realised volatility, every loss computed on the variance scale, and Table 3.1 fixes each model's role, Appendix C.1 the symbols used throughout, and Appendix C.2 names every model that fills a role. One asset carries the primary analysis while a reduced design tests transfer to two others, a scope decision set out in Section 3.9. The study uses only aggregate published data, so there are no human participants; but volatility forecasts inform capital decisions, so an over-confident interval is not a neutral error, which is why RQ3 tests calibration rather than assuming it.</w:t>
      </w:r>
    </w:p>
    <w:p>
      <w:pPr>
        <w:pStyle w:val="Caption"/>
      </w:pPr>
      <w:r>
        <w:t>Table 3.1  Model inventory: the role each model plays in the comparison. The terms in the left-hand column are used with these meanings in every subsequent chapter.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pStyle w:val="Caption"/>
      </w:pPr>
      <w:r>
        <w:t>Figure 3.1. The forecasting pipeline. Solid arrows carry data; the dashed arrows carry the regime signal, estimated on the training window only. The bracket marks the stages run at every forecast origin; each estimation box states its own refit cadence, which differs by model family for the reasons given in Section 3.6. The econometric baselines state no predictive law, so Stage 5 produces nothing for them and only the network path reaches the interval criteria. Section 3.9 re-runs the pipeline on two further markets with a reduced board and without Stage 5.</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t>The method is specified against a data interface rather than a source: any series meeting the requirements below drives the pipeline unchanged, and Chapter 4 names the series used. The dependent variable is daily realised variance, formed from intraday prices as the sum of squared intraday returns:</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t xml:space="preserve">	(3.1)</w:t>
      </w:r>
    </w:p>
    <w:p>
      <w:pPr>
        <w:spacing w:after="160" w:line="320"/>
        <w:jc w:val="both"/>
      </w:pPr>
      <w:r>
        <w:t xml:space="preserve">where </w:t>
      </w:r>
      <w:r>
        <w:rPr>
          <w:i/>
          <w:iCs/>
        </w:rPr>
        <w:t xml:space="preserve">P</w:t>
      </w:r>
      <w:r>
        <w:rPr>
          <w:i/>
          <w:iCs/>
          <w:sz w:val="19"/>
          <w:szCs w:val="19"/>
          <w:vertAlign w:val="subscript"/>
        </w:rPr>
        <w:t xml:space="preserve">t,i</w:t>
      </w:r>
      <w:r>
        <w:t xml:space="preserve"> is the </w:t>
      </w:r>
      <w:r>
        <w:rPr>
          <w:i/>
          <w:iCs/>
        </w:rPr>
        <w:t xml:space="preserve">i</w:t>
      </w:r>
      <w:r>
        <w:t xml:space="preserve">-th price on day </w:t>
      </w:r>
      <w:r>
        <w:rPr>
          <w:i/>
          <w:iCs/>
        </w:rPr>
        <w:t xml:space="preserve">t</w:t>
      </w:r>
      <w:r>
        <w:t xml:space="preserve"> on a fixed grid of </w:t>
      </w:r>
      <w:r>
        <w:rPr>
          <w:i/>
          <w:iCs/>
        </w:rPr>
        <w:t xml:space="preserve">M</w:t>
      </w:r>
      <w:r>
        <w:t xml:space="preserve"> intervals, </w:t>
      </w:r>
      <w:r>
        <w:rPr>
          <w:i/>
          <w:iCs/>
        </w:rPr>
        <w:t xml:space="preserve">r</w:t>
      </w:r>
      <w:r>
        <w:rPr>
          <w:i/>
          <w:iCs/>
          <w:sz w:val="19"/>
          <w:szCs w:val="19"/>
          <w:vertAlign w:val="subscript"/>
        </w:rPr>
        <w:t xml:space="preserve">t,i</w:t>
      </w:r>
      <w:r>
        <w:t xml:space="preserve"> the corresponding intraday log return, and </w:t>
      </w:r>
      <w:r>
        <w:rPr>
          <w:i/>
          <w:iCs/>
        </w:rPr>
        <w:t xml:space="preserve">RV</w:t>
      </w:r>
      <w:r>
        <w:rPr>
          <w:i/>
          <w:iCs/>
          <w:sz w:val="19"/>
          <w:szCs w:val="19"/>
          <w:vertAlign w:val="subscript"/>
        </w:rPr>
        <w:t xml:space="preserve">t</w:t>
      </w:r>
      <w:r>
        <w:t xml:space="preserve"> the realised variance of day </w:t>
      </w:r>
      <w:r>
        <w:rPr>
          <w:i/>
          <w:iCs/>
        </w:rPr>
        <w:t xml:space="preserve">t</w:t>
      </w:r>
      <w: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t>Predictor requirements stay modest, the Section 3.4 comparison being interpretable only if every model draws on the same information set; Table 3.2 gives the interface. An auxiliary implied-volatility series must price options on the same market as the target, one from another market being a spillover experiment rather than a feature. Rows missing a required field are dropped, never imputed, the missing quantity being the object forecast.</w:t>
      </w:r>
    </w:p>
    <w:p>
      <w:pPr>
        <w:pStyle w:val="Caption"/>
      </w:pPr>
      <w:r>
        <w:t>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240"/>
        <w:gridCol w:w="204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2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0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Closing price; the close-to-close return the Section 3.3 regime model emits on, and with open the session return of Table 3.3</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Conditional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Required when the target is session-only; positive, same session</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With close, the open-to-close return the baselines and networks take, matched to the target's session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color w:val="444444"/>
                <w:sz w:val="18"/>
                <w:szCs w:val="18"/>
              </w:rPr>
              <w:t xml:space="preserve">, all ending at </w:t>
            </w:r>
            <w:r>
              <w:rPr>
                <w:rFonts w:ascii="Calibri" w:cs="Calibri" w:eastAsia="Calibri" w:hAnsi="Calibri"/>
                <w:b w:val="false"/>
                <w:bCs w:val="false"/>
                <w:i/>
                <w:iCs/>
                <w:color w:val="444444"/>
                <w:sz w:val="18"/>
                <w:szCs w:val="18"/>
              </w:rPr>
              <w:t xml:space="preserve">t</w:t>
            </w:r>
            <w:r>
              <w:rPr>
                <w:rFonts w:ascii="Calibri" w:cs="Calibri" w:eastAsia="Calibri" w:hAnsi="Calibri"/>
                <w:b w:val="false"/>
                <w:bCs w:val="false"/>
                <w:color w:val="444444"/>
                <w:sz w:val="18"/>
                <w:szCs w:val="18"/>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60" w:line="280"/>
      </w:pPr>
      <w:r>
        <w:rPr>
          <w:color w:val="444444"/>
          <w:sz w:val="18"/>
          <w:szCs w:val="18"/>
        </w:rPr>
        <w:t xml:space="preserve">Minimum history: 22 + </w:t>
      </w:r>
      <w:r>
        <w:rPr>
          <w:i/>
          <w:iCs/>
          <w:color w:val="444444"/>
          <w:sz w:val="18"/>
          <w:szCs w:val="18"/>
        </w:rPr>
        <w:t xml:space="preserve">L</w:t>
      </w:r>
      <w:r>
        <w:rPr>
          <w:color w:val="444444"/>
          <w:sz w:val="18"/>
          <w:szCs w:val="18"/>
        </w:rPr>
        <w:t xml:space="preserve"> trading days of warm-up (the monthly HAR aggregate plus the network lookback), then the training, validation and test windows of Section 3.6. The horizon is one trading day: every forecast of day t draws only on information dated t−1 or earlier, and multi-step forecasting lies outside this design.</w:t>
      </w:r>
    </w:p>
    <w:p>
      <w:pPr>
        <w:spacing w:after="260" w:line="280"/>
      </w:pPr>
      <w:r>
        <w:rPr>
          <w:color w:val="444444"/>
          <w:sz w:val="18"/>
          <w:szCs w:val="18"/>
        </w:rPr>
        <w:t xml:space="preserve">Assembly is deterministic and part of the specification. The sources are joined on the trading calendar by intersection, so the frame holds only days present in all of them and the rows lost to that join are reported rather than absorbed; non-positive and non-finite observations are dropped with the rest of their row, the target being undefined in logs. The realised measure and any positive auxiliary series enter the networks in logs, a quantity spanning several orders of magnitude being poorly matched to a squared-error objective, and every standardiser is estimated on training rows alone.</w:t>
      </w:r>
    </w:p>
    <w:p>
      <w:pPr>
        <w:spacing w:after="260" w:line="280"/>
      </w:pPr>
      <w:r>
        <w:rPr>
          <w:color w:val="444444"/>
          <w:sz w:val="18"/>
          <w:szCs w:val="18"/>
        </w:rPr>
        <w:t xml:space="preserve">One day fixes both input and output. On 16 March 2020 the required fields read date 2020-03-16, realised variance 0.00412 from five-minute returns, close 2386.13, open 2508.59 and, optionally, an implied-volatility index at 82.69; the derived fields follow by the rules above. For that day the method returns one variance forecast formed at the previous close and, for the models of Section 3.5, an interval at a stated level.</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t xml:space="preserve">This stage produces the regime signal of Table 3.1: for every trading day, a distribution over </w:t>
      </w:r>
      <w:r>
        <w:rPr>
          <w:i/>
          <w:iCs/>
        </w:rPr>
        <w:t xml:space="preserve">K</w:t>
      </w:r>
      <w:r>
        <w:t xml:space="preserve"> latent market states formed without reference to the future. Three requirements shape the estimator: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 expectation-maximisation switches states faster than the data warrant (Nystrup, Lindström and Madsen, 2020). This design adopts their remedy of penalising switching directly, keeping the maximum-likelihood fit as the comparator. Over the state path {</w:t>
      </w:r>
      <w:r>
        <w:rPr>
          <w:i/>
          <w:iCs/>
        </w:rPr>
        <w:t xml:space="preserve">s</w:t>
      </w:r>
      <w:r>
        <w:rPr>
          <w:i/>
          <w:iCs/>
          <w:sz w:val="19"/>
          <w:szCs w:val="19"/>
          <w:vertAlign w:val="subscript"/>
        </w:rPr>
        <w:t xml:space="preserve">t</w:t>
      </w:r>
      <w:r>
        <w:t xml:space="preserve">} and parameters {</w:t>
      </w:r>
      <w:r>
        <w:rPr>
          <w:i/>
          <w:iCs/>
        </w:rPr>
        <w:t xml:space="preserve">θ</w:t>
      </w:r>
      <w:r>
        <w:rPr>
          <w:i/>
          <w:iCs/>
          <w:sz w:val="19"/>
          <w:szCs w:val="19"/>
          <w:vertAlign w:val="subscript"/>
        </w:rPr>
        <w:t xml:space="preserve">k</w:t>
      </w:r>
      <w:r>
        <w:t xml:space="preserve">}, it minimises</w:t>
      </w:r>
    </w:p>
    <w:p>
      <w:pPr>
        <w:tabs>
          <w:tab w:val="center" w:pos="4513"/>
          <w:tab w:val="right" w:pos="9026"/>
        </w:tabs>
        <w:spacing w:after="220" w:before="220" w:line="320"/>
      </w:pPr>
      <w: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t xml:space="preserve">	(3.2)</w:t>
      </w:r>
    </w:p>
    <w:p>
      <w:pPr>
        <w:spacing w:after="160" w:line="320"/>
        <w:jc w:val="both"/>
      </w:pPr>
      <w:r>
        <w:t xml:space="preserve">where </w:t>
      </w:r>
      <w:r>
        <w:rPr>
          <w:i/>
          <w:iCs/>
        </w:rPr>
        <w:t>z</w:t>
      </w:r>
      <w:r>
        <w:rPr>
          <w:i/>
          <w:iCs/>
          <w:sz w:val="19"/>
          <w:szCs w:val="19"/>
          <w:vertAlign w:val="subscript"/>
        </w:rPr>
        <w:t xml:space="preserve">t</w:t>
      </w:r>
      <w:r>
        <w:t xml:space="preserve"> is the standardised regime feature vector on day </w:t>
      </w:r>
      <w:r>
        <w:rPr>
          <w:i/>
          <w:iCs/>
        </w:rPr>
        <w:t xml:space="preserve">t</w:t>
      </w:r>
      <w:r>
        <w:t xml:space="preserve">, </w:t>
      </w:r>
      <w:r>
        <w:rPr>
          <w:i/>
          <w:iCs/>
        </w:rPr>
        <w:t xml:space="preserve">T</w:t>
      </w:r>
      <w:r>
        <w:t xml:space="preserve"> the number of days in the estimation window, </w:t>
      </w:r>
      <w:r>
        <w:rPr>
          <w:i/>
          <w:iCs/>
        </w:rPr>
        <w:t xml:space="preserve">s</w:t>
      </w:r>
      <w:r>
        <w:rPr>
          <w:i/>
          <w:iCs/>
          <w:sz w:val="19"/>
          <w:szCs w:val="19"/>
          <w:vertAlign w:val="subscript"/>
        </w:rPr>
        <w:t xml:space="preserve">t</w:t>
      </w:r>
      <w:r>
        <w:t xml:space="preserve"> ∈ {1, …, </w:t>
      </w:r>
      <w:r>
        <w:rPr>
          <w:i/>
          <w:iCs/>
        </w:rPr>
        <w:t xml:space="preserve">K</w:t>
      </w:r>
      <w:r>
        <w:t xml:space="preserve">} its state, </w:t>
      </w:r>
      <w:r>
        <w:rPr>
          <w:i/>
          <w:iCs/>
        </w:rPr>
        <w:t xml:space="preserve">θ</w:t>
      </w:r>
      <w:r>
        <w:rPr>
          <w:i/>
          <w:iCs/>
          <w:sz w:val="19"/>
          <w:szCs w:val="19"/>
          <w:vertAlign w:val="subscript"/>
        </w:rPr>
        <w:t xml:space="preserve">k</w:t>
      </w:r>
      <w:r>
        <w:t xml:space="preserve"> the Gaussian mean and covariance of state </w:t>
      </w:r>
      <w:r>
        <w:rPr>
          <w:i/>
          <w:iCs/>
        </w:rPr>
        <w:t xml:space="preserve">k</w:t>
      </w:r>
      <w:r>
        <w:t xml:space="preserve">, </w:t>
      </w:r>
      <w:r>
        <w:rPr>
          <w:i/>
          <w:iCs/>
        </w:rPr>
        <w:t>c</w:t>
      </w:r>
      <w:r>
        <w:t xml:space="preserve"> the Gaussian negative log-likelihood, 1{·} the indicator and </w:t>
      </w:r>
      <w:r>
        <w:rPr>
          <w:i/>
          <w:iCs/>
        </w:rPr>
        <w:t xml:space="preserve">λ</w:t>
      </w:r>
      <w:r>
        <w:t xml:space="preserve"> ≥ 0 the penalty charged whenever the state changes. The feature vector is deliberately minimal — the daily close-to-close log return, standardised on training rows only — which is the simple Gaussian emission Section 2.4 argues for. The penalty carries the argument: at </w:t>
      </w:r>
      <w:r>
        <w:rPr>
          <w:i/>
          <w:iCs/>
        </w:rPr>
        <w:t xml:space="preserve">λ</w:t>
      </w:r>
      <w:r>
        <w:t xml:space="preserve"> = 0 the objective is atemporal clustering, and as </w:t>
      </w:r>
      <w:r>
        <w:rPr>
          <w:i/>
          <w:iCs/>
        </w:rPr>
        <w:t xml:space="preserve">λ</w:t>
      </w:r>
      <w:r>
        <w:t xml:space="preserve"> grows the fit buys persistence at the cost of responsiveness. Coordinate descent minimises it; the resulting path then serves as a route to an HMM, whose forward filter yields the filtered posterior </w:t>
      </w:r>
      <w:r>
        <w:rPr>
          <w:i/>
          <w:iCs/>
        </w:rPr>
        <w:t xml:space="preserve">ξ</w:t>
      </w:r>
      <w:r>
        <w:rPr>
          <w:i/>
          <w:iCs/>
          <w:sz w:val="19"/>
          <w:szCs w:val="19"/>
          <w:vertAlign w:val="subscript"/>
        </w:rPr>
        <w:t xml:space="preserve">t</w:t>
      </w:r>
      <w:r>
        <w:t xml:space="preserve"> = </w:t>
      </w:r>
      <w:r>
        <w:rPr>
          <w:i/>
          <w:iCs/>
        </w:rPr>
        <w:t xml:space="preserve">P(s</w:t>
      </w:r>
      <w:r>
        <w:rPr>
          <w:i/>
          <w:iCs/>
          <w:sz w:val="19"/>
          <w:szCs w:val="19"/>
          <w:vertAlign w:val="subscript"/>
        </w:rPr>
        <w:t xml:space="preserve">t</w:t>
      </w:r>
      <w:r>
        <w:rPr>
          <w:i/>
          <w:iCs/>
        </w:rPr>
        <w:t xml:space="preserve"> | z</w:t>
      </w:r>
      <w:r>
        <w:rPr>
          <w:i/>
          <w:iCs/>
          <w:sz w:val="19"/>
          <w:szCs w:val="19"/>
          <w:vertAlign w:val="subscript"/>
        </w:rPr>
        <w:t xml:space="preserve">1</w:t>
      </w:r>
      <w:r>
        <w:rPr>
          <w:i/>
          <w:iCs/>
        </w:rPr>
        <w:t>, …, z</w:t>
      </w:r>
      <w:r>
        <w:rPr>
          <w:i/>
          <w:iCs/>
          <w:sz w:val="19"/>
          <w:szCs w:val="19"/>
          <w:vertAlign w:val="subscript"/>
        </w:rPr>
        <w:t xml:space="preserve">t</w:t>
      </w:r>
      <w:r>
        <w:rPr>
          <w:i/>
          <w:iCs/>
        </w:rPr>
        <w:t xml:space="preserve">)</w:t>
      </w:r>
      <w: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t>The state count is fixed rather than fitted: three states — calm, transitional and crisis — are set in advance on the interpretability grounds of Section 2.4, a richer space diluting interpretation and inviting overfitting at this sample size. An information criterion over a small grid of candidate counts is reported as a sensitivity rather than used as the selector: the two estimators of this section need not agree on it, and letting a criterion decide the count once the downstream models exist would reopen every choice made conditional on it. Chapter 4 reports the grid, the criterion's values and where the estimators disagree.</w:t>
      </w:r>
    </w:p>
    <w:p>
      <w:pPr>
        <w:spacing w:after="160" w:line="320"/>
        <w:jc w:val="both"/>
      </w:pPr>
      <w:r>
        <w:t xml:space="preserve">Likelihood cannot select the penalty, always preferring </w:t>
      </w:r>
      <w:r>
        <w:rPr>
          <w:i/>
          <w:iCs/>
        </w:rPr>
        <w:t xml:space="preserve">λ</w:t>
      </w:r>
      <w:r>
        <w:t xml:space="preserve"> → 0 and so returning the pathology it exists to remove. Selection applies a stated rule to a stated grid — the smallest </w:t>
      </w:r>
      <w:r>
        <w:rPr>
          <w:i/>
          <w:iCs/>
        </w:rPr>
        <w:t xml:space="preserve">λ</w:t>
      </w:r>
      <w:r>
        <w:t xml:space="preserve"> whose mean regime duration clears a persistence floor, on training rows only — with grid, floor and rule fixed before any downstream result existed, so the penalty cannot be tuned to the answer; a finer sweep is published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t>What varies across the models of Table 3.1 is the information each may use and the form each may take, one at a time. Three econometric baselines each close off a competing explanation, alongside a reference floor; Table 3.3 states what each rules out.</w:t>
      </w:r>
    </w:p>
    <w:p>
      <w:pPr>
        <w:pStyle w:val="Caption"/>
      </w:pPr>
      <w:r>
        <w:t xml:space="preserve">Table 3.3  The baseline set and what each is there to rule out. The conditional-variance models take open-to-close returns, as do the networks of Section 3.4, matching the session-only realised measure; a close-to-close return embeds the overnight gap, which the ratio loss of Section 3.7 would read as forecast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160" w:line="320"/>
        <w:jc w:val="both"/>
      </w:pPr>
      <w: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Attention — the Transformer (Vaswani et al., 2017) and the Temporal Fusion Transformer (Lim et al., 2021) — was rejected on evidence rather than conservatism: it is data-hungry, precisely where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i/>
          <w:iCs/>
        </w:rPr>
        <w:t xml:space="preserve">L</w:t>
      </w:r>
      <w:r>
        <w:t xml:space="preserve"> trading days through one recurrent layer to a linear output, estimated by mean squared error on standardised log realised variance.</w:t>
      </w:r>
    </w:p>
    <w:p>
      <w:pPr>
        <w:spacing w:after="160" w:line="320"/>
        <w:jc w:val="both"/>
      </w:pPr>
      <w:r>
        <w:t>Two ablations vary that information set while holding the architecture fixed, because a win over HAR-RV would otherwise be unattributable. The first restricts the input to realised-volatility history alone, HAR-RV's own information source: whatever advantage survives is the architecture rather than the extra return. The match is on the source, not its construction — the network receives raw daily lags across its lookback window, HAR-RV daily, weekly and monthly aggregates reaching twenty-two days — so unless the selected window is at least that long the network works from less history, which makes it the more conservative control; Chapter 4 reports the window. The second adds an implied-volatility index, the auxiliary series of Table 3.2,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t>Two architectures condition that network on the regime signal, differing in where it enters. Regime as feature appends the lagged posterior to the input vector. A mixture of experts (Jacobs et al., 1991) carries one network per state and recombines their forecasts by the posterior acting as a soft gate:</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t xml:space="preserve">	(3.3)</w:t>
      </w:r>
    </w:p>
    <w:p>
      <w:pPr>
        <w:spacing w:after="160" w:line="320"/>
        <w:jc w:val="both"/>
      </w:pPr>
      <w:r>
        <w:t xml:space="preserve">where </w:t>
      </w:r>
      <w:r>
        <w:rPr>
          <w:i/>
          <w:iCs/>
        </w:rPr>
        <w:t xml:space="preserve">f</w:t>
      </w:r>
      <w:r>
        <w:rPr>
          <w:i/>
          <w:iCs/>
          <w:sz w:val="19"/>
          <w:szCs w:val="19"/>
          <w:vertAlign w:val="subscript"/>
        </w:rPr>
        <w:t xml:space="preserve">k</w:t>
      </w:r>
      <w:r>
        <w:t xml:space="preserve"> is the </w:t>
      </w:r>
      <w:r>
        <w:rPr>
          <w:i/>
          <w:iCs/>
        </w:rPr>
        <w:t xml:space="preserve">k</w:t>
      </w:r>
      <w:r>
        <w:t xml:space="preserve">-th expert, </w:t>
      </w:r>
      <w:r>
        <w:rPr>
          <w:i/>
          <w:iCs/>
        </w:rPr>
        <w:t xml:space="preserve">x</w:t>
      </w:r>
      <w:r>
        <w:t xml:space="preserve"> the network's input window of </w:t>
      </w:r>
      <w:r>
        <w:rPr>
          <w:i/>
          <w:iCs/>
        </w:rPr>
        <w:t xml:space="preserve">L</w:t>
      </w:r>
      <w:r>
        <w:t xml:space="preserve"> days ending at </w:t>
      </w:r>
      <w:r>
        <w:rPr>
          <w:i/>
          <w:iCs/>
        </w:rPr>
        <w:t xml:space="preserve">t</w:t>
      </w:r>
      <w:r>
        <w:t xml:space="preserve">−1, </w:t>
      </w:r>
      <w:r>
        <w:rPr>
          <w:i/>
          <w:iCs/>
        </w:rPr>
        <w:t xml:space="preserve">μ̂</w:t>
      </w:r>
      <w:r>
        <w:rPr>
          <w:i/>
          <w:iCs/>
          <w:sz w:val="19"/>
          <w:szCs w:val="19"/>
          <w:vertAlign w:val="subscript"/>
        </w:rPr>
        <w:t xml:space="preserve">t</w:t>
      </w:r>
      <w:r>
        <w:t xml:space="preserve"> the fitted conditional mean of log realised variance the mixture returns, and </w:t>
      </w:r>
      <w:r>
        <w:rPr>
          <w:i/>
          <w:iCs/>
        </w:rPr>
        <w:t xml:space="preserve">g</w:t>
      </w:r>
      <w:r>
        <w:rPr>
          <w:i/>
          <w:iCs/>
          <w:sz w:val="19"/>
          <w:szCs w:val="19"/>
          <w:vertAlign w:val="subscript"/>
        </w:rPr>
        <w:t xml:space="preserve">k,t</w:t>
      </w:r>
      <w:r>
        <w:t xml:space="preserve"> the gate weight on expert </w:t>
      </w:r>
      <w:r>
        <w:rPr>
          <w:i/>
          <w:iCs/>
        </w:rPr>
        <w:t xml:space="preserve">k</w:t>
      </w:r>
      <w:r>
        <w:t xml:space="preserve"> for day </w:t>
      </w:r>
      <w:r>
        <w:rPr>
          <w:i/>
          <w:iCs/>
        </w:rPr>
        <w:t xml:space="preserve">t</w:t>
      </w:r>
      <w:r>
        <w:t xml:space="preserve">, taken as the k-th element of the filtered posterior of Section 3.3 at </w:t>
      </w:r>
      <w:r>
        <w:rPr>
          <w:i/>
          <w:iCs/>
        </w:rPr>
        <w:t xml:space="preserve">t</w:t>
      </w:r>
      <w: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lineRule="auto"/>
        <w:jc w:val="both"/>
      </w:pPr>
      <w:r>
        <w:t xml:space="preserve">The gate also enters training, as a weight rather than a partition: every expert sees every window, weighted by its own gate, so expert </w:t>
      </w:r>
      <w:r>
        <w:rPr>
          <w:i/>
        </w:rPr>
        <w:t>k</w:t>
      </w:r>
      <w:r>
        <w:t xml:space="preserve"> minimises the weighted objective of Equation 3.3b</w:t>
      </w:r>
    </w:p>
    <w:p>
      <w:pPr>
        <w:tabs>
          <w:tab w:pos="4513" w:val="center"/>
          <w:tab w:pos="9026" w:val="right"/>
        </w:tabs>
        <w:spacing w:after="220" w:line="320" w:lineRule="auto"/>
      </w:pPr>
      <w:r>
        <w:tab/>
      </w:r>
      <w:r>
        <w:rPr>
          <w:rFonts w:ascii="Cambria Math" w:hAnsi="Cambria Math"/>
          <w:i/>
          <w:color w:val="111111"/>
          <w:sz w:val="24"/>
        </w:rPr>
        <w:t>J</w:t>
      </w:r>
      <w:r>
        <w:rPr>
          <w:rFonts w:ascii="Cambria Math" w:hAnsi="Cambria Math"/>
          <w:i/>
          <w:color w:val="111111"/>
          <w:sz w:val="24"/>
          <w:vertAlign w:val="subscript"/>
        </w:rPr>
        <w:t>k</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y</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i/>
          <w:color w:val="111111"/>
          <w:sz w:val="24"/>
        </w:rPr>
        <w:t>f</w:t>
      </w:r>
      <w:r>
        <w:rPr>
          <w:rFonts w:ascii="Cambria Math" w:hAnsi="Cambria Math"/>
          <w:i/>
          <w:color w:val="111111"/>
          <w:sz w:val="24"/>
          <w:vertAlign w:val="subscript"/>
        </w:rPr>
        <w:t>k</w:t>
      </w:r>
      <w:r>
        <w:rPr>
          <w:rFonts w:ascii="Cambria Math" w:hAnsi="Cambria Math"/>
          <w:color w:val="111111"/>
          <w:sz w:val="24"/>
        </w:rPr>
        <w:t>(</w:t>
      </w:r>
      <w:r>
        <w:rPr>
          <w:rFonts w:ascii="Cambria Math" w:hAnsi="Cambria Math"/>
          <w:i/>
          <w:color w:val="111111"/>
          <w:sz w:val="24"/>
        </w:rPr>
        <w:t>x</w:t>
      </w:r>
      <w:r>
        <w:rPr>
          <w:rFonts w:ascii="Cambria Math" w:hAnsi="Cambria Math"/>
          <w:i/>
          <w:color w:val="111111"/>
          <w:sz w:val="24"/>
          <w:vertAlign w:val="subscript"/>
        </w:rPr>
        <w:t>t−L:t−1</w:t>
      </w:r>
      <w:r>
        <w:rPr>
          <w:rFonts w:ascii="Cambria Math" w:hAnsi="Cambria Math"/>
          <w:color w:val="111111"/>
          <w:sz w:val="24"/>
        </w:rPr>
        <w:t>)</w:t>
      </w:r>
      <w:r>
        <w:rPr>
          <w:rFonts w:ascii="Cambria Math" w:hAnsi="Cambria Math"/>
          <w:color w:val="111111"/>
          <w:sz w:val="24"/>
        </w:rPr>
        <w:t xml:space="preserve"> )</w:t>
      </w:r>
      <w:r>
        <w:rPr>
          <w:rFonts w:ascii="Cambria Math" w:hAnsi="Cambria Math"/>
          <w:color w:val="111111"/>
          <w:sz w:val="20"/>
          <w:vertAlign w:val="superscript"/>
        </w:rPr>
        <w:t>2</w:t>
      </w:r>
      <w:r>
        <w:rPr>
          <w:rFonts w:ascii="Cambria Math" w:hAnsi="Cambria Math"/>
          <w:color w:val="111111"/>
          <w:sz w:val="24"/>
        </w:rPr>
        <w:t xml:space="preserve"> ,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g</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g</w:t>
      </w:r>
      <w:r>
        <w:rPr>
          <w:rFonts w:ascii="Cambria Math" w:hAnsi="Cambria Math"/>
          <w:i/>
          <w:color w:val="111111"/>
          <w:sz w:val="24"/>
          <w:vertAlign w:val="subscript"/>
        </w:rPr>
        <w:t>k,t′</w:t>
      </w:r>
      <w:r>
        <w:tab/>
        <w:t>(3.3b)</w:t>
      </w:r>
    </w:p>
    <w:p>
      <w:pPr>
        <w:spacing w:after="160" w:line="320" w:lineRule="auto"/>
        <w:jc w:val="both"/>
      </w:pPr>
      <w:r>
        <w:t xml:space="preserve">where </w:t>
      </w:r>
      <w:r>
        <w:rPr>
          <w:i/>
        </w:rPr>
        <w:t>J</w:t>
      </w:r>
      <w:r>
        <w:rPr>
          <w:i/>
          <w:sz w:val="19"/>
          <w:vertAlign w:val="subscript"/>
        </w:rPr>
        <w:t>k</w:t>
      </w:r>
      <w:r>
        <w:t xml:space="preserve"> is expert </w:t>
      </w:r>
      <w:r>
        <w:rPr>
          <w:i/>
        </w:rPr>
        <w:t>k</w:t>
      </w:r>
      <w:r>
        <w:t xml:space="preserve">'s training objective, </w:t>
      </w:r>
      <w:r>
        <w:rPr>
          <w:i/>
        </w:rPr>
        <w:t>y</w:t>
      </w:r>
      <w:r>
        <w:rPr>
          <w:i/>
          <w:sz w:val="19"/>
          <w:vertAlign w:val="subscript"/>
        </w:rPr>
        <w:t>t</w:t>
      </w:r>
      <w:r>
        <w:t xml:space="preserve"> the log realised variance of day </w:t>
      </w:r>
      <w:r>
        <w:rPr>
          <w:i/>
        </w:rPr>
        <w:t>t</w:t>
      </w:r>
      <w:r>
        <w:t xml:space="preserve"> on the standardised scale the networks are fitted on, </w:t>
      </w:r>
      <w:r>
        <w:rPr>
          <w:i/>
        </w:rPr>
        <w:t>w</w:t>
      </w:r>
      <w:r>
        <w:rPr>
          <w:i/>
          <w:sz w:val="19"/>
          <w:vertAlign w:val="subscript"/>
        </w:rPr>
        <w:t>k,t</w:t>
      </w:r>
      <w:r>
        <w:t xml:space="preserve"> the gate weight of Equation 3.3 renormalised over the training windows, and </w:t>
      </w:r>
      <w:r>
        <w:rPr>
          <w:i/>
        </w:rPr>
        <w:t>t′</w:t>
      </w:r>
      <w:r>
        <w:t xml:space="preserve"> indexes those windows. Each day therefore contributes to every expert in proportion to how strongly its state was believed active at </w:t>
      </w:r>
      <w:r>
        <w:rPr>
          <w:i/>
        </w:rPr>
        <w:t>t</w:t>
      </w:r>
      <w:r>
        <w:t>−1, so the expert for the crisis state is not confined to crisis days but weights them most heavily; and Equation 3.4 below takes its residual variance from the mixture rather than from any single expert.</w:t>
      </w:r>
    </w:p>
    <w:p>
      <w:pPr>
        <w:spacing w:after="160" w:line="320"/>
        <w:jc w:val="both"/>
      </w:pPr>
      <w: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t xml:space="preserve">	(3.4)</w:t>
      </w:r>
    </w:p>
    <w:p>
      <w:pPr>
        <w:spacing w:after="160" w:line="320"/>
        <w:jc w:val="both"/>
      </w:pPr>
      <w:r>
        <w:t xml:space="preserve">where </w:t>
      </w:r>
      <w:r>
        <w:rPr>
          <w:i/>
          <w:iCs/>
        </w:rPr>
        <w:t>ĥ</w:t>
      </w:r>
      <w:r>
        <w:rPr>
          <w:i/>
          <w:iCs/>
          <w:sz w:val="19"/>
          <w:szCs w:val="19"/>
          <w:vertAlign w:val="subscript"/>
        </w:rPr>
        <w:t>t</w:t>
      </w:r>
      <w:r>
        <w:t xml:space="preserve"> is the variance forecast of </w:t>
      </w:r>
      <w:r>
        <w:rPr>
          <w:i/>
          <w:iCs/>
        </w:rPr>
        <w:t xml:space="preserve">RV</w:t>
      </w:r>
      <w:r>
        <w:rPr>
          <w:i/>
          <w:iCs/>
          <w:sz w:val="19"/>
          <w:szCs w:val="19"/>
          <w:vertAlign w:val="subscript"/>
        </w:rPr>
        <w:t xml:space="preserve">t</w:t>
      </w:r>
      <w:r>
        <w:t xml:space="preserve"> formed at </w:t>
      </w:r>
      <w:r>
        <w:rPr>
          <w:i/>
          <w:iCs/>
        </w:rPr>
        <w:t xml:space="preserve">t</w:t>
      </w:r>
      <w:r>
        <w:t xml:space="preserve">−1, </w:t>
      </w:r>
      <w:r>
        <w:rPr>
          <w:i/>
          <w:iCs/>
        </w:rPr>
        <w:t xml:space="preserve">μ̂</w:t>
      </w:r>
      <w:r>
        <w:rPr>
          <w:i/>
          <w:iCs/>
          <w:sz w:val="19"/>
          <w:szCs w:val="19"/>
          <w:vertAlign w:val="subscript"/>
        </w:rPr>
        <w:t xml:space="preserve">t</w:t>
      </w:r>
      <w:r>
        <w:t xml:space="preserve"> the fitted conditional mean of log realised variance, and </w:t>
      </w:r>
      <w:r>
        <w:rPr>
          <w:i/>
          <w:iCs/>
        </w:rPr>
        <w:t xml:space="preserve">σ̂</w:t>
      </w:r>
      <w:r>
        <w:rPr>
          <w:i/>
          <w:iCs/>
          <w:sz w:val="19"/>
          <w:szCs w:val="19"/>
          <w:vertAlign w:val="superscript"/>
        </w:rPr>
        <w:t xml:space="preserve">2</w:t>
      </w:r>
      <w: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t>Appendix C.2 assembles the board these choices produce. Every model appearing in any later table is named there, with the information it may use and the single question its presence answers, so that no result is reported for a specification the reader has not been shown. Roles are those of Table 3.1; an ablation exists to attribute an effect rather than to compete, and a sensitivity is one forecast read a second way,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t xml:space="preserve">The primary method is Monte Carlo dropout (Gal and Ghahramani, 2016). Training is unchanged from Section 3.4, so the fitted weights are the point model's; only inference changes, the dropout staying active while the network runs </w:t>
      </w:r>
      <w:r>
        <w:rPr>
          <w:i/>
          <w:iCs/>
        </w:rPr>
        <w:t>B</w:t>
      </w:r>
      <w:r>
        <w:t xml:space="preserve"> stochastic passes. Shared weights do not make the forecast identical: the predictive mean of Equation 3.5 is the average over those passes, not the deterministic one, so the passes move the point forecast as well as widening the interval — a movement the deterministic specification below is retained to measure. </w:t>
      </w:r>
    </w:p>
    <w:p>
      <w:pPr>
        <w:spacing w:after="160" w:line="320" w:lineRule="auto"/>
        <w:jc w:val="both"/>
      </w:pPr>
      <w:r>
        <w:t>Where that dropout sits is a substantive choice: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which Chapter 5 must weigh against any under-coverage it finds. Reusing the trained weights still keeps the comparison tight: a difference in interval quality is a difference in how uncertainty is formed, not in what the network learned. Those passes and the residual term of Equation 3.4 supply two components of predictive variance, which add:</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t xml:space="preserve">	(3.5)</w:t>
      </w:r>
    </w:p>
    <w:p>
      <w:pPr>
        <w:spacing w:after="160" w:line="320"/>
        <w:jc w:val="both"/>
      </w:pPr>
      <w:r>
        <w:t xml:space="preserve">where </w:t>
      </w:r>
      <w:r>
        <w:rPr>
          <w:i/>
          <w:iCs/>
        </w:rPr>
        <w:t xml:space="preserve">B</w:t>
      </w:r>
      <w:r>
        <w:t xml:space="preserve"> is the number of stochastic passes, </w:t>
      </w:r>
      <w:r>
        <w:rPr>
          <w:i/>
          <w:iCs/>
        </w:rPr>
        <w:t xml:space="preserve">m</w:t>
      </w:r>
      <w:r>
        <w:rPr>
          <w:i/>
          <w:iCs/>
          <w:sz w:val="19"/>
          <w:szCs w:val="19"/>
          <w:vertAlign w:val="subscript"/>
        </w:rPr>
        <w:t xml:space="preserve">t,j</w:t>
      </w:r>
      <w:r>
        <w:t xml:space="preserve"> the log-variance output of the </w:t>
      </w:r>
      <w:r>
        <w:rPr>
          <w:i/>
          <w:iCs/>
        </w:rPr>
        <w:t xml:space="preserve">j</w:t>
      </w:r>
      <w:r>
        <w:t xml:space="preserve">-th pass on day </w:t>
      </w:r>
      <w:r>
        <w:rPr>
          <w:i/>
          <w:iCs/>
        </w:rPr>
        <w:t xml:space="preserve">t</w:t>
      </w:r>
      <w:r>
        <w:t xml:space="preserve">, </w:t>
      </w:r>
      <w:r>
        <w:rPr>
          <w:i/>
          <w:iCs/>
        </w:rPr>
        <w:t xml:space="preserve">μ̂</w:t>
      </w:r>
      <w:r>
        <w:rPr>
          <w:i/>
          <w:iCs/>
          <w:sz w:val="19"/>
          <w:szCs w:val="19"/>
          <w:vertAlign w:val="subscript"/>
        </w:rPr>
        <w:t xml:space="preserve">t</w:t>
      </w:r>
      <w:r>
        <w:t xml:space="preserve"> the predictive mean, </w:t>
      </w:r>
      <w:r>
        <w:rPr>
          <w:i/>
          <w:iCs/>
        </w:rPr>
        <w:t xml:space="preserve">σ̂</w:t>
      </w:r>
      <w:r>
        <w:rPr>
          <w:i/>
          <w:iCs/>
          <w:sz w:val="19"/>
          <w:szCs w:val="19"/>
          <w:vertAlign w:val="subscript"/>
        </w:rPr>
        <w:t xml:space="preserve">t</w:t>
      </w:r>
      <w:r>
        <w:rPr>
          <w:i/>
          <w:iCs/>
          <w:sz w:val="19"/>
          <w:szCs w:val="19"/>
          <w:vertAlign w:val="superscript"/>
        </w:rPr>
        <w:t xml:space="preserve">2</w:t>
      </w:r>
      <w:r>
        <w:t xml:space="preserve"> the total predictive variance, its first term the epistemic component, and </w:t>
      </w:r>
      <w:r>
        <w:rPr>
          <w:i/>
          <w:iCs/>
        </w:rPr>
        <w:t xml:space="preserve">σ̂</w:t>
      </w:r>
      <w:r>
        <w:rPr>
          <w:i/>
          <w:iCs/>
          <w:sz w:val="19"/>
          <w:szCs w:val="19"/>
          <w:vertAlign w:val="superscript"/>
        </w:rPr>
        <w:t xml:space="preserve">2</w:t>
      </w:r>
      <w:r>
        <w:t xml:space="preserve"> — without the subscript, and the same quantity as in Equation 3.4 —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r>
        <w:t xml:space="preserve"> Equation 3.4 then returns the forecast to the variance scale, with </w:t>
      </w:r>
      <w:r>
        <w:rPr>
          <w:i/>
        </w:rPr>
        <w:t>σ̂</w:t>
      </w:r>
      <w:r>
        <w:rPr>
          <w:i/>
          <w:sz w:val="19"/>
          <w:vertAlign w:val="subscript"/>
        </w:rPr>
        <w:t>t</w:t>
      </w:r>
      <w:r>
        <w:rPr>
          <w:i/>
          <w:sz w:val="19"/>
          <w:vertAlign w:val="superscript"/>
        </w:rPr>
        <w:t>2</w:t>
      </w:r>
      <w:r>
        <w:t xml:space="preserve"> in place of </w:t>
      </w:r>
      <w:r>
        <w:rPr>
          <w:i/>
        </w:rPr>
        <w:t>σ̂</w:t>
      </w:r>
      <w:r>
        <w:rPr>
          <w:i/>
          <w:sz w:val="19"/>
          <w:vertAlign w:val="superscript"/>
        </w:rPr>
        <w:t>2</w:t>
      </w:r>
      <w:r>
        <w:t xml:space="preserve">, so </w:t>
      </w:r>
      <w:r>
        <w:rPr>
          <w:i/>
        </w:rPr>
        <w:t>ĥ</w:t>
      </w:r>
      <w:r>
        <w:rPr>
          <w:i/>
          <w:sz w:val="19"/>
          <w:vertAlign w:val="subscript"/>
        </w:rPr>
        <w:t>t</w:t>
      </w:r>
      <w:r>
        <w:t xml:space="preserve"> = exp(</w:t>
      </w:r>
      <w:r>
        <w:rPr>
          <w:i/>
        </w:rPr>
        <w:t>μ̂</w:t>
      </w:r>
      <w:r>
        <w:rPr>
          <w:i/>
          <w:sz w:val="19"/>
          <w:vertAlign w:val="subscript"/>
        </w:rPr>
        <w:t>t</w:t>
      </w:r>
      <w:r>
        <w:t xml:space="preserve"> + ½ </w:t>
      </w:r>
      <w:r>
        <w:rPr>
          <w:i/>
        </w:rPr>
        <w:t>σ̂</w:t>
      </w:r>
      <w:r>
        <w:rPr>
          <w:i/>
          <w:sz w:val="19"/>
          <w:vertAlign w:val="subscript"/>
        </w:rPr>
        <w:t>t</w:t>
      </w:r>
      <w:r>
        <w:rPr>
          <w:i/>
          <w:sz w:val="19"/>
          <w:vertAlign w:val="superscript"/>
        </w:rPr>
        <w:t>2</w:t>
      </w:r>
      <w:r>
        <w:t>).</w:t>
      </w:r>
    </w:p>
    <w:p>
      <w:pPr>
        <w:spacing w:after="160" w:line="320"/>
        <w:jc w:val="both"/>
      </w:pPr>
      <w:r>
        <w:t>The comparison method assumes no distribution: one network carries a multi-quantile head trained under the pinball loss (Koenker and Bassett, 1978), monotone by construction so quantiles cannot cross, and trained at the headline band's endpoints and its median.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Appendix C.2. A third specification, LSTM-Gaussian in Appendix C.2, is the same network's deterministic forecast with an aleatoric-only interval, isolating what the passes buy. Hyperparameters stay at the Section 3.6 values.</w:t>
      </w:r>
    </w:p>
    <w:p>
      <w:pPr>
        <w:spacing w:after="160" w:line="320" w:lineRule="auto"/>
        <w:jc w:val="both"/>
      </w:pPr>
      <w:r>
        <w:t xml:space="preserve">Equations 3.4 and 3.5 state a Gaussian law on log realised variance, which induces a log-normal law on the variance scale; every interval, quantile and closed-form score below is read off it. The central interval at nominal level 1 − </w:t>
      </w:r>
      <w:r>
        <w:rPr>
          <w:i/>
        </w:rPr>
        <w:t>α</w:t>
      </w:r>
      <w:r>
        <w:t xml:space="preserve"> is</w:t>
      </w:r>
    </w:p>
    <w:p>
      <w:pPr>
        <w:tabs>
          <w:tab w:pos="4513" w:val="center"/>
          <w:tab w:pos="9026" w:val="right"/>
        </w:tabs>
        <w:spacing w:after="220" w:line="320" w:lineRule="auto"/>
      </w:pPr>
      <w:r>
        <w:tab/>
      </w:r>
      <w:r>
        <w:rPr>
          <w:rFonts w:ascii="Cambria Math" w:hAnsi="Cambria Math"/>
          <w:i/>
          <w:color w:val="111111"/>
          <w:sz w:val="24"/>
        </w:rPr>
        <w:t>ℓ</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mbria Math" w:hAnsi="Cambria Math"/>
          <w:color w:val="111111"/>
          <w:sz w:val="24"/>
        </w:rPr>
        <w:t xml:space="preserve"> ,        </w:t>
      </w:r>
      <w:r>
        <w:rPr>
          <w:rFonts w:ascii="Cambria Math" w:hAnsi="Cambria Math"/>
          <w:i/>
          <w:color w:val="111111"/>
          <w:sz w:val="24"/>
        </w:rPr>
        <w:t>u</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color w:val="111111"/>
          <w:sz w:val="24"/>
        </w:rPr>
        <w:t xml:space="preserve">1 − </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tab/>
        <w:t>(3.6)</w:t>
      </w:r>
    </w:p>
    <w:p>
      <w:pPr>
        <w:spacing w:after="160" w:line="320" w:lineRule="auto"/>
        <w:jc w:val="both"/>
      </w:pPr>
      <w:r>
        <w:t xml:space="preserve">where </w:t>
      </w:r>
      <w:r>
        <w:rPr>
          <w:i/>
        </w:rPr>
        <w:t>α</w:t>
      </w:r>
      <w:r>
        <w:t xml:space="preserve"> is one minus the nominal coverage, </w:t>
      </w:r>
      <w:r>
        <w:t>Φ</w:t>
      </w:r>
      <w:r>
        <w:rPr>
          <w:sz w:val="19"/>
          <w:vertAlign w:val="superscript"/>
        </w:rPr>
        <w:t>−1</w:t>
      </w:r>
      <w:r>
        <w:t xml:space="preserve"> the standard normal quantile function, and </w:t>
      </w:r>
      <w:r>
        <w:rPr>
          <w:i/>
        </w:rPr>
        <w:t>σ̂</w:t>
      </w:r>
      <w:r>
        <w:rPr>
          <w:i/>
          <w:sz w:val="19"/>
          <w:vertAlign w:val="subscript"/>
        </w:rPr>
        <w:t>t</w:t>
      </w:r>
      <w:r>
        <w:t xml:space="preserve"> the square root of the predictive variance of Equation 3.5. The same law supplies the closed-form continuous ranked probability score of Section 3.7 and the mean of Equation 3.4. The quantile head states no law — its interval is the two trained quantiles themselves — which is why Section 3.7 scores the two families on a common grid before comparing them.</w:t>
      </w:r>
    </w:p>
    <w:p>
      <w:pPr>
        <w:spacing w:after="160" w:line="320"/>
        <w:jc w:val="both"/>
      </w:pPr>
      <w:r>
        <w:t>A final specification combines the two layers — the regime-conditioned architecture of Section 3.4 with the stochastic passes of this section — and is how the interaction between RQ2 and RQ3 is tested. Which regime architecture it inherits was fixed before that comparison was run: the one whose advantage is both large and carried by a formal test, not the one with the best point estimate in any single state. The smaller states rest on few days, and the most extreme changes sign between the two regime estimators of Section 3.3, so selecting on either would be choosing an architecture on noise.</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none is taken on the test block. Over it the forecasts are produced on an anchored walk-forward, the estimation window growing from the start of the sample, which beats a fixed-length rolling window because regimes recur and discarding an early crisis would leave a model with no instance of the behaviour it most needs to have seen.</w:t>
      </w:r>
    </w:p>
    <w:p>
      <w:pPr>
        <w:spacing w:after="160" w:line="320"/>
        <w:jc w:val="both"/>
      </w:pPr>
      <w:r>
        <w:t xml:space="preserve">The boundaries follow requirements, not convenience: the training block must span at least one calm-to-crisis cycle, since the regime model estimates its states from it alone; the validation block must be long enough that its ranking of the grid is not itself noise; and the test block must hold a stress episode and enough days for the tests of Section 3.7 to have power. Chapter 4 reports the dates these requirements select.</w:t>
      </w:r>
    </w:p>
    <w:p>
      <w:pPr>
        <w:spacing w:after="160" w:line="320" w:lineRule="auto"/>
        <w:jc w:val="both"/>
      </w:pPr>
      <w:r>
        <w:t>What that walk-forward re-estimates differs by model, by design. The econometric baselines are refitted on the expanding window at a fixed monthly cadence: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elsewhere — and with a single seed the second is not measurable, so the month-to-month variation could not be attributed to either.</w:t>
      </w:r>
    </w:p>
    <w:p>
      <w:pPr>
        <w:spacing w:after="160" w:line="320" w:lineRule="auto"/>
        <w:jc w:val="both"/>
      </w:pPr>
      <w:r>
        <w:t>Both protocols are leakage-free: no quantity entering a forecast for a given day was computed from that day or later. They are not symmetric,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from one whose training window has gone stale. Separating the two requires refitting the network at the baselines' cadence, a sensitivity this design admits rather than resolves and which Chapter 4 reports.</w:t>
      </w:r>
    </w:p>
    <w:p>
      <w:pPr>
        <w:spacing w:after="160" w:line="320" w:lineRule="auto"/>
        <w:jc w:val="both"/>
      </w:pPr>
      <w:r>
        <w:t>The regime model's estimation window is shorter still: it is fitted on the training block alone — not on all pre-test data, as the networks are — and its posterior is filtered forward without refitting. Those same rows carry a selection, the state count and jump penalty of Section 3.3 being chosen on training data, so re-estimating afterwards would either reopen that choice or freeze it against a fit it no longer describes. Holding the estimation and selection windows identical is the conservative reading, and it means the regime signal at any forecast origin was estimated from strictly less information than the network consuming it.</w:t>
      </w:r>
    </w:p>
    <w:p>
      <w:pPr>
        <w:spacing w:after="160" w:line="320"/>
        <w:jc w:val="both"/>
      </w:pPr>
      <w:r>
        <w:t>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 Appendix C.3 states the grid, what each hyperparameter controls, how it is selected and the expected effect of increasing it.</w:t>
      </w:r>
    </w:p>
    <w:p>
      <w:pPr>
        <w:spacing w:after="160" w:line="320"/>
        <w:jc w:val="both"/>
      </w:pPr>
      <w:r>
        <w:t>One unswept decision in Appendix C.3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i/>
          <w:iCs/>
        </w:rPr>
        <w:t xml:space="preserve">t</w:t>
      </w:r>
      <w:r>
        <w:t xml:space="preserve"> was computed with knowledge of any observation dated </w:t>
      </w:r>
      <w:r>
        <w:rPr>
          <w:i/>
          <w:iCs/>
        </w:rPr>
        <w:t xml:space="preserve">t</w:t>
      </w:r>
      <w: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t>Every model is scored on the same held-out block and dates, used once, so the losses are paired as the significance tests require. Table 3.4 lists the criteria and the question each answers; most are conventional and used conventionally, so they are named and cited rather than re-derived, while two depart from standard practice and are defined below. Appendix C.4 fixes the settings at which each was run — lag rules, test sizes, bootstrap controls and seeds. Interval criteria are reported at 90% and 95% for the methods stating a predictive law, and at 90% alone for the quantile head, whose trained quantiles define that band and no other. 90% is the headline because it is the only level at which the two uncertainty methods are comparable; comparing them anywhere else would favour the parametric family by construction.</w:t>
      </w:r>
    </w:p>
    <w:p>
      <w:pPr>
        <w:pStyle w:val="Caption"/>
      </w:pPr>
      <w:r>
        <w:t>Table 3.4  Evaluation criteria and the question each answers. The two departing from standard practice are defined in Equations 3.7 and 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Patton (2011); Eq. 3.7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Project-specific; Eq. 3.8, Holm (1979)</w:t>
            </w:r>
          </w:p>
        </w:tc>
      </w:tr>
    </w:tbl>
    <w:p>
      <w:pPr>
        <w:spacing w:after="160" w:line="320"/>
        <w:jc w:val="both"/>
      </w:pPr>
      <w: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tab/>
        <w:t>(3.7)</w:t>
      </w:r>
    </w:p>
    <w:p>
      <w:pPr>
        <w:spacing w:after="160" w:line="320"/>
        <w:jc w:val="both"/>
      </w:pPr>
      <w:r>
        <w:t xml:space="preserve">where </w:t>
      </w:r>
      <w:r>
        <w:rPr>
          <w:i/>
          <w:iCs/>
        </w:rPr>
        <w:t xml:space="preserve">n</w:t>
      </w:r>
      <w:r>
        <w:t xml:space="preserve"> is the number of evaluated days, </w:t>
      </w:r>
      <w:r>
        <w:rPr>
          <w:i/>
          <w:iCs/>
        </w:rPr>
        <w:t>RV</w:t>
      </w:r>
      <w:r>
        <w:rPr>
          <w:i/>
          <w:iCs/>
          <w:sz w:val="19"/>
          <w:szCs w:val="19"/>
          <w:vertAlign w:val="superscript"/>
        </w:rPr>
      </w:r>
      <w:r>
        <w:rPr>
          <w:i/>
          <w:iCs/>
          <w:sz w:val="19"/>
          <w:szCs w:val="19"/>
          <w:vertAlign w:val="subscript"/>
        </w:rPr>
        <w:t xml:space="preserve">t</w:t>
      </w:r>
      <w:r>
        <w:t xml:space="preserve"> the realised variance on day </w:t>
      </w:r>
      <w:r>
        <w:rPr>
          <w:i/>
          <w:iCs/>
        </w:rPr>
        <w:t xml:space="preserve">t</w:t>
      </w:r>
      <w:r>
        <w:t xml:space="preserve"> and </w:t>
      </w:r>
      <w:r>
        <w:rPr>
          <w:i/>
          <w:iCs/>
        </w:rPr>
        <w:t>ĥ</w:t>
      </w:r>
      <w:r>
        <w:rPr>
          <w:i/>
          <w:iCs/>
          <w:sz w:val="19"/>
          <w:szCs w:val="19"/>
          <w:vertAlign w:val="subscript"/>
        </w:rPr>
        <w:t xml:space="preserve">t</w:t>
      </w:r>
      <w:r>
        <w:t xml:space="preserve"> the variance forecast for it, both as defined above. QLIKE is more often written without the final two terms; this form subtracts its value at a perfect forecast, so the loss is zero when </w:t>
      </w:r>
      <w:r>
        <w:rPr>
          <w:i/>
          <w:iCs/>
        </w:rPr>
        <w:t>ĥ</w:t>
      </w:r>
      <w:r>
        <w:rPr>
          <w:i/>
          <w:iCs/>
          <w:sz w:val="19"/>
          <w:szCs w:val="19"/>
          <w:vertAlign w:val="subscript"/>
        </w:rPr>
        <w:t xml:space="preserve">t</w:t>
      </w:r>
      <w:r>
        <w:rPr>
          <w:i/>
          <w:iCs/>
        </w:rPr>
        <w:t xml:space="preserve"> = RV</w:t>
      </w:r>
      <w:r>
        <w:rPr>
          <w:i/>
          <w:iCs/>
          <w:sz w:val="19"/>
          <w:szCs w:val="19"/>
          <w:vertAlign w:val="superscript"/>
        </w:rPr>
      </w:r>
      <w:r>
        <w:rPr>
          <w:i/>
          <w:iCs/>
          <w:sz w:val="19"/>
          <w:szCs w:val="19"/>
          <w:vertAlign w:val="subscript"/>
        </w:rPr>
        <w:t xml:space="preserve">t</w:t>
      </w:r>
      <w:r>
        <w:t xml:space="preserve">. It is a Bregman divergence, not a different loss — every ranking and test statistic is unchanged — but a reported number becomes readable as a distance from perfect.</w:t>
      </w:r>
    </w:p>
    <w:p>
      <w:pPr>
        <w:spacing w:after="160" w:line="320"/>
        <w:jc w:val="both"/>
      </w:pPr>
      <w: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tab/>
        <w:t>(3.8)</w:t>
      </w:r>
    </w:p>
    <w:p>
      <w:pPr>
        <w:spacing w:after="160" w:line="320"/>
        <w:jc w:val="both"/>
      </w:pPr>
      <w:r>
        <w:t xml:space="preserve">where </w:t>
      </w:r>
      <w:r>
        <w:rPr>
          <w:i/>
          <w:iCs/>
        </w:rPr>
      </w:r>
      <w:r>
        <w:rPr>
          <w:i/>
          <w:iCs/>
          <w:sz w:val="19"/>
          <w:szCs w:val="19"/>
          <w:vertAlign w:val="subscript"/>
        </w:rPr>
      </w:r>
      <w:r/>
      <w:r>
        <w:rPr>
          <w:i/>
          <w:iCs/>
        </w:rPr>
        <w:t xml:space="preserve">ℓ</w:t>
      </w:r>
      <w:r>
        <w:rPr>
          <w:i/>
          <w:iCs/>
          <w:sz w:val="19"/>
          <w:szCs w:val="19"/>
          <w:vertAlign w:val="subscript"/>
        </w:rPr>
        <w:t xml:space="preserve">t</w:t>
      </w:r>
      <w:r>
        <w:t xml:space="preserve"> and </w:t>
      </w:r>
      <w:r>
        <w:rPr>
          <w:i/>
          <w:iCs/>
        </w:rPr>
        <w:t xml:space="preserve">u</w:t>
      </w:r>
      <w:r>
        <w:rPr>
          <w:i/>
          <w:iCs/>
          <w:sz w:val="19"/>
          <w:szCs w:val="19"/>
          <w:vertAlign w:val="subscript"/>
        </w:rPr>
        <w:t xml:space="preserve">t</w:t>
      </w:r>
      <w:r>
        <w:t xml:space="preserve"> are the interval bounds of Equation 3.6, </w:t>
      </w:r>
      <w:r>
        <w:rPr>
          <w:i/>
          <w:iCs/>
        </w:rPr>
        <w:t>I</w:t>
      </w:r>
      <w:r>
        <w:rPr>
          <w:i/>
          <w:iCs/>
          <w:sz w:val="19"/>
          <w:szCs w:val="19"/>
          <w:vertAlign w:val="subscript"/>
        </w:rPr>
        <w:t xml:space="preserve">t</w:t>
      </w:r>
      <w:r>
        <w:t xml:space="preserve"> a subsample indicator measurable at </w:t>
      </w:r>
      <w:r>
        <w:rPr>
          <w:i/>
          <w:iCs/>
        </w:rPr>
        <w:t xml:space="preserve">t</w:t>
      </w:r>
      <w:r>
        <w:t xml:space="preserve">−1, and </w:t>
      </w:r>
      <w:r>
        <w:rPr>
          <w:i/>
          <w:iCs/>
        </w:rPr>
        <w:t xml:space="preserve">Δ</w:t>
      </w:r>
      <w:r>
        <w:t xml:space="preserve"> the difference in violation rate between flagged days and the remainder, tested as the coefficient on </w:t>
      </w:r>
      <w:r>
        <w:rPr>
          <w:i/>
          <w:iCs/>
        </w:rPr>
        <w:t>I</w:t>
      </w:r>
      <w:r>
        <w:rPr>
          <w:i/>
          <w:iCs/>
          <w:sz w:val="19"/>
          <w:szCs w:val="19"/>
          <w:vertAlign w:val="subscript"/>
        </w:rPr>
        <w:t xml:space="preserve">t</w:t>
      </w:r>
      <w: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spacing w:after="160" w:line="320"/>
        <w:jc w:val="both"/>
      </w:pPr>
      <w:r>
        <w:t>The same reasoning governs any conditional test of when violations occur. The dynamic-quantile regression contains a constant, through which a globally mis-levelled interval rejects whatever the conditioning variable does, so each such test is run incrementally: it asks whether the conditioner adds explanatory power to a specification already carrying the level and the hit's own lags. The multiplicity family is fixed once rather than assembled per table — its dimensions are method, level and side, giving seven members, four differences in coverage and three incremental tests — so a count of rejections is read against that denominator, not against the number of rows displayed.</w:t>
      </w:r>
    </w:p>
    <w:p>
      <w:pPr>
        <w:spacing w:after="160" w:line="320"/>
        <w:jc w:val="both"/>
      </w:pPr>
      <w:r>
        <w:t>Two qualifications attach to the conditional predictive-ability test and are declared rather than left to be discovered. Its asymptotics assume forecasts come from a finite estimation window, so that estimation error does not vanish and the object under test is the forecasting method rather than the population model: the networks, estimated once and held fixed, satisfy this; the baselines, re-estimated on an expanding window, do not, so one side of every deep-versus-econometric pair sits outside the stated conditions. Its long-run covariance is also mean-centred, which makes the test mildly over-sized. Centring is retained because it is what the pairwise test uses, so the equivalence between the two at a single lag holds exactly, and Chapter 4 measures the effect against the uncentred statistic.</w:t>
      </w:r>
    </w:p>
    <w:p>
      <w:pPr>
        <w:spacing w:after="160" w:line="320"/>
        <w:jc w:val="both"/>
      </w:pPr>
      <w:r>
        <w:t>One criterion in Table 3.4 is not computed the same way for every model, which decides how it may be read. A method stating a parametric predictive law gives the continuous ranked probability score in closed form; a method stating only a set of quantiles gives an approximation on that grid, and on a three-point grid the approximation understates the score materially. The two are therefore never compared directly: every method is scored a second time on the common grid, those figures are compared across methods, and the closed form is quoted only within the parametric family.</w:t>
      </w:r>
    </w:p>
    <w:p>
      <w:pPr>
        <w:spacing w:after="160" w:line="320"/>
        <w:jc w:val="both"/>
      </w:pPr>
      <w:r>
        <w:t>One further quantity is reported alongside the interval criteria, at the headline level, and is a measurement rather than a test. If multiplying a fitted predictive spread by a constant improves a proper score, the spread was wrong by about that factor, and the minimising constant measures how wrong in a units-free way that neither coverage nor width supplies alone. It is found by searching the evaluation window itself, so it describes the shortfall rather than correcting it: an in-sample calibration, not a remedy validated out of sample, which this design retains no held-out data to attempt.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t xml:space="preserve">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Appendix C.5 states the minimum configuration, each requirement following from the architectures of Section 3.4. Every model is estimated and evaluated locally on a general-purpose processor: nothing calls an external service, so no token, latency or cost limit applies and no data leaves the machine. What the method does require of a network is acquisition — the price series and the realised measure must be obtained and cached before anything above runs, and a discontinued source must be archived rather than fetched on demand.</w:t>
      </w:r>
    </w:p>
    <w:p>
      <w:pPr>
        <w:spacing w:after="160" w:line="320"/>
        <w:jc w:val="both"/>
      </w:pPr>
      <w:r>
        <w:t xml:space="preserve">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the interpreter version is part of the specification, since a rebuild under another may not return the committed values, a discrepancy indistinguishable from an error in the method. The implementation, the configuration that produced each reported value and the instructions for regenerating them are published in a public repository, cited in Appendix C.5, so the values Chapter 4 reports can be recomputed rather than taken on trust.</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t>RQ4 asks whether the answers to RQ1–RQ3 are properties of the method or of the market it was developed on. It is answered on a deliberately reduced design, and the reduction is what makes it a check rather than a second study: the econometric baselines and a single deep model, on a target constructed identically, under the same losses and the same tests. That model is the regime-conditioned architecture chosen by the rule stated in Section 3.5 — selected on the one state where the regime effect is both large and carried by a formal test, rather than on the lowest pooled loss, so it need not be the top-ranked model on the primary asset. Re-running the full board would multiply comparisons without adding evidence about transfer.</w:t>
      </w:r>
    </w:p>
    <w:p>
      <w:pPr>
        <w:spacing w:after="160" w:line="320"/>
        <w:jc w:val="both"/>
      </w:pPr>
      <w:r>
        <w:t>Three requirements make that check meaningful rather than mechanical. The regime model is re-estimated on each asset rather than carried across, a state path fitted to one market's return distribution not being a description of another's; transferring it would test the map rather than the method. The auxiliary implied-volatility input is dropped wherever the available index prices options on a different market, since that would be a spillover experiment rather than the feature ablation of Section 3.4 — a requirement Table 3.2 already places on the input series. And the modelling frame is assembled by an inner join across sources, so an asset trading on a different exchange calendar yields a different sample; the rows lost to that join are reported rather than absorbed silently.</w:t>
      </w:r>
    </w:p>
    <w:p>
      <w:pPr>
        <w:spacing w:after="160" w:line="320"/>
        <w:jc w:val="both"/>
      </w:pPr>
      <w:r>
        <w:t>What the design can establish is bounded, and the bound is worth stating before any result is read. Agreement across markets is evidence that a finding is not an artefact of one series. Disagreement identifies a finding as market-specific without saying which feature of the market is responsible, and where the evaluation windows overlap — as they do wherever the same crisis falls inside both — agreement is not independent evidence either. Section 3.10 carries both readings as residual risk.</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t>A design is only as credible as its account of what could undermine it. Table 3.5 sets out the threats, the mitigation adopted for each, and what remains; some are closed structurally, while others are only bounded or declared, and those constrain what the results may be taken to show.</w:t>
      </w:r>
    </w:p>
    <w:p>
      <w:pPr>
        <w:pStyle w:val="Caption"/>
      </w:pPr>
      <w:r>
        <w:t>Table 3.5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Initialisation variance in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the leading models are refitted across a set of seeds and the spread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where the seed spread exceeds a pooled gap, that ranking is not resolved by this design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A single frequency, and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Daily frequency untested elsewhere; the evaluation windows overlap, so agreement across indices is not independent evidence</w:t>
            </w:r>
          </w:p>
        </w:tc>
      </w:tr>
    </w:tbl>
    <w:p>
      <w:pPr>
        <w:spacing w:after="160" w:line="320"/>
        <w:jc w:val="both"/>
      </w:pPr>
      <w: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spacing w:after="160" w:line="320"/>
        <w:jc w:val="both"/>
      </w:pPr>
      <w:r>
        <w:t xml:space="preserve">The ethical position follows from the data, and is stated here rather than assumed. Both sources are publicly published market aggregates, so no personal data is processed and no privacy or data-protection obligation arises; fairness in the sense the machine-learning literature uses it, concerning decisions taken about identifiable individuals, does not apply. What does apply is the asymmetry noted in Section 3.1: an interval that is too narrow understates risk, and that cost falls on whoever bears the exposure rather than on whoever fits the model — which is why calibration is reported beside accuracy, and by state rather than pooled.</w:t>
      </w:r>
    </w:p>
    <w:p>
      <w:pPr>
        <w:pStyle w:val="Heading2"/>
        <w:spacing w:after="180" w:before="320"/>
      </w:pPr>
      <w:r>
        <w:rPr>
          <w:rFonts w:ascii="Calibri" w:cs="Calibri" w:eastAsia="Calibri" w:hAnsi="Calibri"/>
          <w:b/>
          <w:bCs/>
          <w:color w:val="111111"/>
          <w:sz w:val="26"/>
          <w:szCs w:val="26"/>
        </w:rPr>
        <w:t xml:space="preserve">3.11  Chapter Summary</w:t>
      </w:r>
    </w:p>
    <w:p>
      <w:pPr>
        <w:spacing w:after="160" w:line="320"/>
        <w:jc w:val="both"/>
      </w:pPr>
      <w:r>
        <w:t>This chapter has specified a controlled comparative evaluation in which one component varies at a time: Section 3.2 fixes the data interface and the realised-variance target, Section 3.3 the causal jump-penalised regime signal, Section 3.4 the model specifications that turn each research question into a contrast, Section 3.5 the two uncertainty layers, Section 3.6 the leakage-free training protocol, and Section 3.7 the losses and tests. Each research question maps back to the objectives of Section 1.5 that answer it, and forward to specific evidence: RQ1 (objectives i and ii) to the QLIKE ranking with its Diebold–Mariano tests and the Model Confidence Set; RQ2 (objective iii) to the Giacomini–White test of conditional predictive ability and the per-state breakdown; RQ3 (objective iv) to coverage, width, the proper scores and the interval backtests; and RQ4 (no objective of its own) to the reduced replication of Section 3.9. Section 3.10 states what none of it can establish, and the ethical position the data implies. Chapter 4 reports the values these procedures return.</w:t>
      </w:r>
    </w:p>
    <w:p>
      <w:pPr>
        <w:pStyle w:val="Heading1"/>
        <w:spacing w:before="320" w:after="180"/>
      </w:pPr>
      <w:r>
        <w:rPr>
          <w:rFonts w:ascii="Calibri" w:hAnsi="Calibri"/>
          <w:b/>
        </w:rPr>
        <w:t>References</w:t>
      </w:r>
    </w:p>
    <w:p>
      <w:pPr>
        <w:spacing w:after="160" w:line="320" w:lineRule="auto"/>
        <w:ind w:left="567" w:hanging="567"/>
        <w:jc w:val="left"/>
      </w:pPr>
      <w:r>
        <w:t xml:space="preserve">Andersen, T.G., Bollerslev, T., Diebold, F.X. and Labys, P., 2003. Modeling and forecasting realized volatility. </w:t>
      </w:r>
      <w:r>
        <w:rPr>
          <w:i/>
        </w:rPr>
        <w:t>Econometrica</w:t>
      </w:r>
      <w:r>
        <w:t>, 71(2), pp.579–625. https://doi.org/10.1111/1468-0262.00418</w:t>
      </w:r>
    </w:p>
    <w:p>
      <w:pPr>
        <w:spacing w:after="160" w:line="320" w:lineRule="auto"/>
        <w:ind w:left="567" w:hanging="567"/>
        <w:jc w:val="left"/>
      </w:pPr>
      <w:r>
        <w:t xml:space="preserve">Bergstra, J. and Bengio, Y., 2012. Random search for hyper-parameter optimization. </w:t>
      </w:r>
      <w:r>
        <w:rPr>
          <w:i/>
        </w:rPr>
        <w:t>Journal of Machine Learning Research</w:t>
      </w:r>
      <w:r>
        <w:t>, 13(10), pp.281–305. https://jmlr.org/papers/v13/bergstra12a.html</w:t>
      </w:r>
    </w:p>
    <w:p>
      <w:pPr>
        <w:spacing w:after="160" w:line="320" w:lineRule="auto"/>
        <w:ind w:left="567" w:hanging="567"/>
        <w:jc w:val="left"/>
      </w:pPr>
      <w:r>
        <w:t xml:space="preserve">Bollerslev, T., 1986. Generalized autoregressive conditional heteroskedasticity. </w:t>
      </w:r>
      <w:r>
        <w:rPr>
          <w:i/>
        </w:rPr>
        <w:t>Journal of Econometrics</w:t>
      </w:r>
      <w:r>
        <w:t>, 31(3), pp.307–327. https://doi.org/10.1016/0304-4076(86)90063-1</w:t>
      </w:r>
    </w:p>
    <w:p>
      <w:pPr>
        <w:spacing w:after="160" w:line="320" w:lineRule="auto"/>
        <w:ind w:left="567" w:hanging="567"/>
        <w:jc w:val="left"/>
      </w:pPr>
      <w:r>
        <w:t xml:space="preserve">Christoffersen, P.F., 1998. Evaluating interval forecasts. </w:t>
      </w:r>
      <w:r>
        <w:rPr>
          <w:i/>
        </w:rPr>
        <w:t>International Economic Review</w:t>
      </w:r>
      <w:r>
        <w:t>, 39(4), pp.841–862. https://doi.org/10.2307/2527341</w:t>
      </w:r>
    </w:p>
    <w:p>
      <w:pPr>
        <w:spacing w:after="160" w:line="320" w:lineRule="auto"/>
        <w:ind w:left="567" w:hanging="567"/>
        <w:jc w:val="left"/>
      </w:pPr>
      <w:r>
        <w:t xml:space="preserve">Corsi, F., 2009. A simple approximate long-memory model of realized volatility. </w:t>
      </w:r>
      <w:r>
        <w:rPr>
          <w:i/>
        </w:rPr>
        <w:t>Journal of Financial Econometrics</w:t>
      </w:r>
      <w:r>
        <w:t>, 7(2), pp.174–196. https://doi.org/10.1093/jjfinec/nbp001</w:t>
      </w:r>
    </w:p>
    <w:p>
      <w:pPr>
        <w:spacing w:after="160" w:line="320" w:lineRule="auto"/>
        <w:ind w:left="567" w:hanging="567"/>
        <w:jc w:val="left"/>
      </w:pPr>
      <w:r>
        <w:t xml:space="preserve">Diebold, F.X. and Mariano, R.S., 1995. Comparing predictive accuracy. </w:t>
      </w:r>
      <w:r>
        <w:rPr>
          <w:i/>
        </w:rPr>
        <w:t>Journal of Business &amp; Economic Statistics</w:t>
      </w:r>
      <w:r>
        <w:t>, 13(3), pp.253–263. https://doi.org/10.1080/07350015.1995.10524599</w:t>
      </w:r>
    </w:p>
    <w:p>
      <w:pPr>
        <w:spacing w:after="160" w:line="320" w:lineRule="auto"/>
        <w:ind w:left="567" w:hanging="567"/>
        <w:jc w:val="left"/>
      </w:pPr>
      <w:r>
        <w:t xml:space="preserve">Duan, N., 1983. Smearing estimate: a nonparametric retransformation method. </w:t>
      </w:r>
      <w:r>
        <w:rPr>
          <w:i/>
        </w:rPr>
        <w:t>Journal of the American Statistical Association</w:t>
      </w:r>
      <w:r>
        <w:t>, 78(383), pp.605–610. https://doi.org/10.1080/01621459.1983.10478017</w:t>
      </w:r>
    </w:p>
    <w:p>
      <w:pPr>
        <w:spacing w:after="160" w:line="320" w:lineRule="auto"/>
        <w:ind w:left="567" w:hanging="567"/>
        <w:jc w:val="left"/>
      </w:pPr>
      <w:r>
        <w:t xml:space="preserve">Engle, R.F. and Manganelli, S., 2004. CAViaR: conditional autoregressive value at risk by regression quantiles. </w:t>
      </w:r>
      <w:r>
        <w:rPr>
          <w:i/>
        </w:rPr>
        <w:t>Journal of Business &amp; Economic Statistics</w:t>
      </w:r>
      <w:r>
        <w:t>, 22(4), pp.367–381. https://doi.org/10.1198/073500104000000370</w:t>
      </w:r>
    </w:p>
    <w:p>
      <w:pPr>
        <w:spacing w:after="160" w:line="320" w:lineRule="auto"/>
        <w:ind w:left="567" w:hanging="567"/>
        <w:jc w:val="left"/>
      </w:pPr>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pPr>
        <w:spacing w:after="160" w:line="320" w:lineRule="auto"/>
        <w:ind w:left="567" w:hanging="567"/>
        <w:jc w:val="left"/>
      </w:pPr>
      <w:r>
        <w:t xml:space="preserve">Giacomini, R. and White, H., 2006. Tests of conditional predictive ability. </w:t>
      </w:r>
      <w:r>
        <w:rPr>
          <w:i/>
        </w:rPr>
        <w:t>Econometrica</w:t>
      </w:r>
      <w:r>
        <w:t>, 74(6), pp.1545–1578. https://doi.org/10.1111/j.1468-0262.2006.00718.x</w:t>
      </w:r>
    </w:p>
    <w:p>
      <w:pPr>
        <w:spacing w:after="160" w:line="320" w:lineRule="auto"/>
        <w:ind w:left="567" w:hanging="567"/>
        <w:jc w:val="left"/>
      </w:pPr>
      <w:r>
        <w:t xml:space="preserve">Gneiting, T. and Raftery, A.E., 2007. Strictly proper scoring rules, prediction, and estimation. </w:t>
      </w:r>
      <w:r>
        <w:rPr>
          <w:i/>
        </w:rPr>
        <w:t>Journal of the American Statistical Association</w:t>
      </w:r>
      <w:r>
        <w:t xml:space="preserve">, 102(477), pp.359–378. </w:t>
      </w:r>
      <w:r>
        <w:t>https://doi.org/10.1198/016214506000001437</w:t>
      </w:r>
    </w:p>
    <w:p>
      <w:pPr>
        <w:spacing w:after="160" w:line="320" w:lineRule="auto"/>
        <w:ind w:left="567" w:hanging="567"/>
        <w:jc w:val="left"/>
      </w:pPr>
      <w:r>
        <w:t xml:space="preserve">Hamilton, J.D., 1989. A new approach to the economic analysis of nonstationary time series and the business cycle. </w:t>
      </w:r>
      <w:r>
        <w:rPr>
          <w:i/>
        </w:rPr>
        <w:t>Econometrica</w:t>
      </w:r>
      <w:r>
        <w:t>, 57(2), pp.357–384. https://doi.org/10.2307/1912559</w:t>
      </w:r>
    </w:p>
    <w:p>
      <w:pPr>
        <w:spacing w:after="160" w:line="320" w:lineRule="auto"/>
        <w:ind w:left="567" w:hanging="567"/>
        <w:jc w:val="left"/>
      </w:pPr>
      <w:r>
        <w:t xml:space="preserve">Hansen, P.R., Lunde, A. and Nason, J.M., 2011. The model confidence set. </w:t>
      </w:r>
      <w:r>
        <w:rPr>
          <w:i/>
        </w:rPr>
        <w:t>Econometrica</w:t>
      </w:r>
      <w:r>
        <w:t>, 79(2), pp.453–497. https://doi.org/10.3982/ECTA5771</w:t>
      </w:r>
    </w:p>
    <w:p>
      <w:pPr>
        <w:spacing w:after="160" w:line="320" w:lineRule="auto"/>
        <w:ind w:left="567" w:hanging="567"/>
        <w:jc w:val="left"/>
      </w:pPr>
      <w:r>
        <w:t xml:space="preserve">Harvey, D., Leybourne, S. and Newbold, P., 1997. Testing the equality of prediction mean squared errors. </w:t>
      </w:r>
      <w:r>
        <w:rPr>
          <w:i/>
        </w:rPr>
        <w:t>International Journal of Forecasting</w:t>
      </w:r>
      <w:r>
        <w:t>, 13(2), pp.281–291. https://doi.org/10.1016/S0169-2070(96)00719-4</w:t>
      </w:r>
    </w:p>
    <w:p>
      <w:pPr>
        <w:spacing w:after="160" w:line="320" w:lineRule="auto"/>
        <w:ind w:left="567" w:hanging="567"/>
        <w:jc w:val="left"/>
      </w:pPr>
      <w:r>
        <w:t xml:space="preserve">Hochreiter, S. and Schmidhuber, J., 1997. </w:t>
      </w:r>
      <w:r>
        <w:t xml:space="preserve">Long short-term memory. </w:t>
      </w:r>
      <w:r>
        <w:rPr>
          <w:i/>
        </w:rPr>
        <w:t>Neural Computation</w:t>
      </w:r>
      <w:r>
        <w:t>, 9(8), pp.1735–1780. https://doi.org/10.1162/neco.1997.9.8.1735</w:t>
      </w:r>
    </w:p>
    <w:p>
      <w:pPr>
        <w:spacing w:after="160" w:line="320" w:lineRule="auto"/>
        <w:ind w:left="567" w:hanging="567"/>
        <w:jc w:val="left"/>
      </w:pPr>
      <w:r>
        <w:t xml:space="preserve">Holm, S., 1979. A simple sequentially rejective multiple test procedure. </w:t>
      </w:r>
      <w:r>
        <w:rPr>
          <w:i/>
        </w:rPr>
        <w:t>Scandinavian Journal of Statistics</w:t>
      </w:r>
      <w:r>
        <w:t>, 6(2), pp.65–70.</w:t>
      </w:r>
    </w:p>
    <w:p>
      <w:pPr>
        <w:spacing w:after="160" w:line="320" w:lineRule="auto"/>
        <w:ind w:left="567" w:hanging="567"/>
        <w:jc w:val="left"/>
      </w:pPr>
      <w:r>
        <w:t xml:space="preserve">Jacobs, R.A., Jordan, M.I., Nowlan, S.J. and Hinton, G.E., 1991. Adaptive mixtures of local experts. </w:t>
      </w:r>
      <w:r>
        <w:rPr>
          <w:i/>
        </w:rPr>
        <w:t>Neural Computation</w:t>
      </w:r>
      <w:r>
        <w:t>, 3(1), pp.79–87. https://doi.org/10.1162/neco.1991.3.1.79</w:t>
      </w:r>
    </w:p>
    <w:p>
      <w:pPr>
        <w:spacing w:after="160" w:line="320" w:lineRule="auto"/>
        <w:ind w:left="567" w:hanging="567"/>
        <w:jc w:val="left"/>
      </w:pPr>
      <w:r>
        <w:t xml:space="preserve">Koenker, R. and Bassett, G., 1978. Regression quantiles. </w:t>
      </w:r>
      <w:r>
        <w:rPr>
          <w:i/>
        </w:rPr>
        <w:t>Econometrica</w:t>
      </w:r>
      <w:r>
        <w:t>, 46(1), pp.33–50. https://doi.org/10.2307/1913643</w:t>
      </w:r>
    </w:p>
    <w:p>
      <w:pPr>
        <w:spacing w:after="160" w:line="320" w:lineRule="auto"/>
        <w:ind w:left="567" w:hanging="567"/>
        <w:jc w:val="left"/>
      </w:pPr>
      <w:r>
        <w:t xml:space="preserve">Kupiec, P.H., 1995. Techniques for verifying the accuracy of risk measurement models. </w:t>
      </w:r>
      <w:r>
        <w:rPr>
          <w:i/>
        </w:rPr>
        <w:t>The Journal of Derivatives</w:t>
      </w:r>
      <w:r>
        <w:t>, 3(2), pp.73–84. https://doi.org/10.3905/jod.1995.407942</w:t>
      </w:r>
    </w:p>
    <w:p>
      <w:pPr>
        <w:spacing w:after="160" w:line="320" w:lineRule="auto"/>
        <w:ind w:left="567" w:hanging="567"/>
        <w:jc w:val="left"/>
      </w:pPr>
      <w:r>
        <w:t xml:space="preserve">Lim, B. and Zohren, S., 2021. Time-series forecasting with deep learning: a survey. </w:t>
      </w:r>
      <w:r>
        <w:rPr>
          <w:i/>
        </w:rPr>
        <w:t>Philosophical Transactions of the Royal Society A</w:t>
      </w:r>
      <w:r>
        <w:t xml:space="preserve">, 379(2194), 20200209. </w:t>
      </w:r>
      <w:r>
        <w:t>https://doi.org/10.1098/rsta.2020.0209</w:t>
      </w:r>
    </w:p>
    <w:p>
      <w:pPr>
        <w:spacing w:after="160" w:line="320" w:lineRule="auto"/>
        <w:ind w:left="567" w:hanging="567"/>
        <w:jc w:val="left"/>
      </w:pPr>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pPr>
        <w:spacing w:after="160" w:line="320" w:lineRule="auto"/>
        <w:ind w:left="567" w:hanging="567"/>
        <w:jc w:val="left"/>
      </w:pPr>
      <w:r>
        <w:t xml:space="preserve">Liu, L.Y., Patton, A.J. and Sheppard, K., 2015. Does anything beat 5-minute RV? A comparison of realized measures across multiple asset classes. </w:t>
      </w:r>
      <w:r>
        <w:rPr>
          <w:i/>
        </w:rPr>
        <w:t>Journal of Econometrics</w:t>
      </w:r>
      <w:r>
        <w:t>, 187(1), pp.293–311. https://doi.org/10.1016/j.jeconom.2015.02.008</w:t>
      </w:r>
    </w:p>
    <w:p>
      <w:pPr>
        <w:spacing w:after="160" w:line="320" w:lineRule="auto"/>
        <w:ind w:left="567" w:hanging="567"/>
        <w:jc w:val="left"/>
      </w:pPr>
      <w:r>
        <w:t xml:space="preserve">Nelson, D.B., 1991. Conditional heteroskedasticity in asset returns: a new approach. </w:t>
      </w:r>
      <w:r>
        <w:rPr>
          <w:i/>
        </w:rPr>
        <w:t>Econometrica</w:t>
      </w:r>
      <w:r>
        <w:t>, 59(2), pp.347–370. https://doi.org/10.2307/2938260</w:t>
      </w:r>
    </w:p>
    <w:p>
      <w:pPr>
        <w:spacing w:after="160" w:line="320" w:lineRule="auto"/>
        <w:ind w:left="567" w:hanging="567"/>
        <w:jc w:val="left"/>
      </w:pPr>
      <w:r>
        <w:t xml:space="preserve">Newey, W.K. and West, K.D., 1987. A simple, positive semi-definite, heteroskedasticity and autocorrelation consistent covariance matrix. </w:t>
      </w:r>
      <w:r>
        <w:rPr>
          <w:i/>
        </w:rPr>
        <w:t>Econometrica</w:t>
      </w:r>
      <w:r>
        <w:t>, 55(3), pp.703–708. https://doi.org/10.2307/1913610</w:t>
      </w:r>
    </w:p>
    <w:p>
      <w:pPr>
        <w:spacing w:after="160" w:line="320" w:lineRule="auto"/>
        <w:ind w:left="567" w:hanging="567"/>
        <w:jc w:val="left"/>
      </w:pPr>
      <w:r>
        <w:t xml:space="preserve">Nystrup, P., Lindström, E. and Madsen, H., 2020. Learning hidden Markov models with persistent states by penalizing jumps. </w:t>
      </w:r>
      <w:r>
        <w:rPr>
          <w:i/>
        </w:rPr>
        <w:t>Expert Systems with Applications</w:t>
      </w:r>
      <w:r>
        <w:t>, 150, 113307. https://doi.org/10.1016/j.eswa.2020.113307</w:t>
      </w:r>
    </w:p>
    <w:p>
      <w:pPr>
        <w:spacing w:after="160" w:line="320" w:lineRule="auto"/>
        <w:ind w:left="567" w:hanging="567"/>
        <w:jc w:val="left"/>
      </w:pPr>
      <w:r>
        <w:t xml:space="preserve">Patton, A.J., 2011. Volatility forecast comparison using imperfect volatility proxies. </w:t>
      </w:r>
      <w:r>
        <w:rPr>
          <w:i/>
        </w:rPr>
        <w:t>Journal of Econometrics</w:t>
      </w:r>
      <w:r>
        <w:t xml:space="preserve">, 160(1), pp.246–256. https://doi.org/10.1016/j.jeconom.2010.03.034 </w:t>
      </w:r>
    </w:p>
    <w:p>
      <w:pPr>
        <w:spacing w:after="160" w:line="320" w:lineRule="auto"/>
        <w:ind w:left="567" w:hanging="567"/>
        <w:jc w:val="left"/>
      </w:pPr>
      <w:r>
        <w:t xml:space="preserve">Politis, D.N. and Romano, J.P., 1994. The stationary bootstrap. </w:t>
      </w:r>
      <w:r>
        <w:rPr>
          <w:i/>
        </w:rPr>
        <w:t>Journal of the American Statistical Association</w:t>
      </w:r>
      <w:r>
        <w:t>, 89(428), pp.1303–1313. https://doi.org/10.1080/01621459.1994.10476870</w:t>
      </w:r>
    </w:p>
    <w:p>
      <w:pPr>
        <w:spacing w:after="160" w:line="320" w:lineRule="auto"/>
        <w:ind w:left="567" w:hanging="567"/>
        <w:jc w:val="left"/>
      </w:pPr>
      <w:r>
        <w:t xml:space="preserve">Vaswani, A., Shazeer, N., Parmar, N., Uszkoreit, J., Jones, L., Gomez, A.N., Kaiser, Ł. and Polosukhin, I., 2017. Attention is all you need. In: </w:t>
      </w:r>
      <w:r>
        <w:rPr>
          <w:i/>
        </w:rPr>
        <w:t>Advances in Neural Information Processing Systems 30 (NeurIPS 2017)</w:t>
      </w:r>
      <w:r>
        <w:t>.</w:t>
      </w:r>
    </w:p>
    <w:p>
      <w:pPr>
        <w:spacing w:after="160" w:line="320" w:lineRule="auto"/>
        <w:ind w:left="567" w:hanging="567"/>
        <w:jc w:val="left"/>
      </w:pPr>
      <w:r>
        <w:t xml:space="preserve">Zeng, A., Chen, M., Zhang, L. and Xu, Q., 2023. Are transformers effective for time series forecasting? </w:t>
      </w:r>
      <w:r>
        <w:rPr>
          <w:i/>
        </w:rPr>
        <w:t>Proceedings of the AAAI Conference on Artificial Intelligence</w:t>
      </w:r>
      <w: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uiPriority w:val="35"/>
    <w:unhideWhenUsed/>
    <w:qFormat/>
    <w:pPr>
      <w:spacing w:after="200" w:line="240" w:lineRule="auto"/>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