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20"/>
      </w:pPr>
      <w:r>
        <w:rPr>
          <w:rFonts w:ascii="Calibri" w:cs="Calibri" w:eastAsia="Calibri" w:hAnsi="Calibri"/>
          <w:b/>
          <w:bCs/>
          <w:color w:val="111111"/>
          <w:sz w:val="30"/>
          <w:szCs w:val="30"/>
        </w:rPr>
        <w:t xml:space="preserve">Appendices</w:t>
      </w:r>
    </w:p>
    <w:p>
      <w:pPr>
        <w:pStyle w:val="Heading2"/>
        <w:spacing w:after="180" w:before="320"/>
      </w:pPr>
      <w:r>
        <w:rPr>
          <w:rFonts w:ascii="Calibri" w:cs="Calibri" w:eastAsia="Calibri" w:hAnsi="Calibri"/>
          <w:b/>
          <w:bCs/>
          <w:color w:val="111111"/>
          <w:sz w:val="26"/>
          <w:szCs w:val="26"/>
        </w:rPr>
        <w:t xml:space="preserve">Appendix A: Methodology specification tables</w:t>
      </w:r>
    </w:p>
    <w:p>
      <w:pPr>
        <w:spacing w:after="90" w:before="200"/>
      </w:pPr>
      <w:r>
        <w:rPr>
          <w:rFonts w:ascii="Calibri" w:cs="Calibri" w:eastAsia="Calibri" w:hAnsi="Calibri"/>
          <w:b/>
          <w:bCs/>
          <w:color w:val="111111"/>
          <w:sz w:val="19"/>
          <w:szCs w:val="19"/>
        </w:rPr>
        <w:t>Table A.1  Notation: the symbols that appear in more than one section of Chapter 3. Each symbol carries this meaning throughout the chapter; symbols local to a single equation are defined where they appear, and no symbol here is reused for a second quantity.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626"/>
        <w:gridCol w:w="2000"/>
      </w:tblGrid>
      <w:tr>
        <w:trPr>
          <w:cantSplit/>
          <w:tblHeader/>
        </w:trPr>
        <w:tc>
          <w:tcPr>
            <w:tcW w:type="dxa" w:w="14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Symbol</w:t>
            </w:r>
          </w:p>
        </w:tc>
        <w:tc>
          <w:tcPr>
            <w:tcW w:type="dxa" w:w="562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Meaning</w:t>
            </w:r>
          </w:p>
        </w:tc>
        <w:tc>
          <w:tcPr>
            <w:tcW w:type="dxa" w:w="20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First used</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RVt</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Realised variance on day t: the forecast target, and the proxy every loss is scored against</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Eq. 3.1</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ĥt</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variance forecast for day t, formed at t−1</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Eq. 3.4</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μ̂t</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The fitted conditional mean of log RVt, which every network returns; for the stochastic model, the average over its passes</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Eq. 3.3</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σ̂2</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variance of the log residuals on a held-out training tail</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Eq. 3.4</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σ̂t2</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The total predictive variance of log RVt on day t: epistemic plus aleatoric</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Eq. 3.5</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zt</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standardised regime feature vector on day t</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Eq. 3.2</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xt−L:t−1</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network's input window: L days ending at t−1</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Eq. 3.3</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st, K</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latent market state on day t, one of K</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Eq. 3.2</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ξt</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filtered state posterior over those K states</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Eq. 3.2</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λ</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jump penalty charged whenever the state changes</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Eq. 3.2</w:t>
            </w:r>
          </w:p>
        </w:tc>
      </w:tr>
      <w:tr>
        <w:trPr>
          <w:cantSplit/>
          <w:tblHeader w:val="false"/>
        </w:trPr>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ℓt, ut</w:t>
            </w:r>
          </w:p>
        </w:tc>
        <w:tc>
          <w:tcPr>
            <w:tcW w:type="dxa" w:w="5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lower and upper bounds of a prediction interval</w:t>
            </w:r>
          </w:p>
        </w:tc>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Eq. 3.7</w:t>
            </w:r>
          </w:p>
        </w:tc>
      </w:tr>
    </w:tbl>
    <w:p>
      <w:pPr>
        <w:spacing w:after="90" w:before="200"/>
      </w:pPr>
      <w:r>
        <w:rPr>
          <w:rFonts w:ascii="Calibri" w:cs="Calibri" w:eastAsia="Calibri" w:hAnsi="Calibri"/>
          <w:b/>
          <w:bCs/>
          <w:color w:val="111111"/>
          <w:sz w:val="19"/>
          <w:szCs w:val="19"/>
        </w:rPr>
        <w:t>Table A.2  The model board: what each model is, what it sees, and what it isolates. Roles are those of Table 3.1, and these names are used unchanged in every subsequent chapter. An ablation exists to attribute an effect rather than to compete; a sensitivity is one forecast read a second way, and is never ranked.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60"/>
        <w:gridCol w:w="2740"/>
        <w:gridCol w:w="3026"/>
      </w:tblGrid>
      <w:tr>
        <w:trPr>
          <w:cantSplit/>
          <w:tblHeader/>
        </w:trPr>
        <w:tc>
          <w:tcPr>
            <w:tcW w:type="dxa" w:w="17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Model</w:t>
            </w:r>
          </w:p>
        </w:tc>
        <w:tc>
          <w:tcPr>
            <w:tcW w:type="dxa" w:w="156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Role</w:t>
            </w:r>
          </w:p>
        </w:tc>
        <w:tc>
          <w:tcPr>
            <w:tcW w:type="dxa" w:w="274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Information set</w:t>
            </w:r>
          </w:p>
        </w:tc>
        <w:tc>
          <w:tcPr>
            <w:tcW w:type="dxa" w:w="302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What it isolates</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GARCH(1,1)</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Econometric baseline</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Open-to-close returns</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See Table 3.3</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EGARCH(1,1,1)</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Econometric baseline</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Open-to-close returns</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See Table 3.3</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HAR-RV</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Econometric baseline</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RV history, as daily, weekly and monthly aggregates reaching 22 days</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See Table 3.3</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RW-RV</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Reference floor</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previous day's RV</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Persistence alone</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LSTM</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Unconditional network</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Log RV lags and the daily return, over the lookback window</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control: what the architecture achieves with no regime signal</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LSTM-RVonly</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Information-set ablation</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Log RV lags alone</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Whether the control's edge over HAR-RV is the architecture or the extra return — HAR-RV's information source, differently constructed</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LSTM-VIX</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Auxiliary-feature ablation</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control's inputs plus an implied-volatility index</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What option-implied information buys; reported apart from the board, its information set being strictly larger</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Regime-LSTM-A</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Regime-conditioned network</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control's inputs plus the lagged state posterior</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Whether the regime signal helps when it enters as information, the form fixed</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Regime-LSTM-A-RVonly</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Regime-conditioned ablation</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Log RV lags plus the lagged posterior</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same question on the leaner set, so a regime effect is not confounded with the return feature</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Regime-LSTM-B</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Regime-conditioned network</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control's inputs; the posterior gates the mixture</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Whether the regime signal helps when it enters as form rather than information (Equation 3.3)</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MC-Dropout-LSTM</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Uncertainty-aware network</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control's inputs</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What the stochastic passes add, the point model unchanged (Equation 3.5)</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LSTM-Gaussian</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Reference ablation</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control's inputs</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same network's deterministic pass with an aleatoric-only interval: the width the passes are measured against, not a third method</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Quantile-LSTM</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Uncertainty-aware network</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control's inputs</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A distribution-free interval, so a calibration result does not rest on the dropout approximation</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Quantile-LSTM-mean</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Sensitivity</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control's inputs</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same quantile forecast on the mean scale the losses elicit; one forecast under two retransformations, so it is never ranked</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MC-Dropout-Regime-LSTM-B</w:t>
            </w:r>
          </w:p>
        </w:tc>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Combined model</w:t>
            </w:r>
          </w:p>
        </w:tc>
        <w:tc>
          <w:tcPr>
            <w:tcW w:type="dxa" w:w="27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Regime-LSTM-B's inputs</w:t>
            </w:r>
          </w:p>
        </w:tc>
        <w:tc>
          <w:tcPr>
            <w:tcW w:type="dxa" w:w="30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Whether regime conditioning and the uncertainty layer compose (RQ2 × RQ3)</w:t>
            </w:r>
          </w:p>
        </w:tc>
      </w:tr>
    </w:tbl>
    <w:p>
      <w:pPr>
        <w:spacing w:after="90" w:before="200"/>
      </w:pPr>
      <w:r>
        <w:rPr>
          <w:rFonts w:ascii="Calibri" w:cs="Calibri" w:eastAsia="Calibri" w:hAnsi="Calibri"/>
          <w:b/>
          <w:bCs/>
          <w:color w:val="111111"/>
          <w:sz w:val="19"/>
          <w:szCs w:val="19"/>
        </w:rPr>
        <w:t>Table A.3  Hyperparameters: meaning, candidates, selection and expected effect. Selected values are reported in Chapter 4, being outcomes of the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120"/>
        <w:gridCol w:w="1220"/>
        <w:gridCol w:w="3326"/>
      </w:tblGrid>
      <w:tr>
        <w:trPr>
          <w:cantSplit/>
          <w:tblHeader/>
        </w:trPr>
        <w:tc>
          <w:tcPr>
            <w:tcW w:type="dxa" w:w="156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7"/>
                <w:szCs w:val="17"/>
              </w:rPr>
              <w:t xml:space="preserve">Hyperparameter</w:t>
            </w:r>
          </w:p>
        </w:tc>
        <w:tc>
          <w:tcPr>
            <w:tcW w:type="dxa" w:w="18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7"/>
                <w:szCs w:val="17"/>
              </w:rPr>
              <w:t xml:space="preserve">What it controls</w:t>
            </w:r>
          </w:p>
        </w:tc>
        <w:tc>
          <w:tcPr>
            <w:tcW w:type="dxa" w:w="112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7"/>
                <w:szCs w:val="17"/>
              </w:rPr>
              <w:t xml:space="preserve">Candidates</w:t>
            </w:r>
          </w:p>
        </w:tc>
        <w:tc>
          <w:tcPr>
            <w:tcW w:type="dxa" w:w="122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7"/>
                <w:szCs w:val="17"/>
              </w:rPr>
              <w:t xml:space="preserve">Selection</w:t>
            </w:r>
          </w:p>
        </w:tc>
        <w:tc>
          <w:tcPr>
            <w:tcW w:type="dxa" w:w="332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7"/>
                <w:szCs w:val="17"/>
              </w:rPr>
              <w:t xml:space="preserve">Expected effect of increasing it</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Lookback </w:t>
            </w:r>
            <w:r>
              <w:rPr>
                <w:rFonts w:ascii="Calibri" w:cs="Calibri" w:eastAsia="Calibri" w:hAnsi="Calibri"/>
                <w:b w:val="false"/>
                <w:bCs w:val="false"/>
                <w:i/>
                <w:iCs/>
                <w:color w:val="444444"/>
                <w:sz w:val="17"/>
                <w:szCs w:val="17"/>
              </w:rPr>
              <w:t xml:space="preserve">L</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Days per input window</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3 values, 10–40</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Grid, validation loss</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Captures slower dynamics but dilutes recent information, which for volatility is the most informative</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Hidden width</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Recurrent-state capacity</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3 values, 32–128</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Grid, validation loss</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Fits richer non-linearity; overfits sooner, bounded by early stopping</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Learning rate</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Optimiser step size</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2 values, 1e-4 to 1e-3</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Grid, validation loss</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Converges faster but may overshoot; smaller needs more epochs</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Recurrent layers</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Depth</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Fixed at 1</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Not swept</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Adds capacity the sample cannot identify</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Dropout rate</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Regularisation, and the source of the Section 3.5 passes</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Fixed</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Not swept — deliberately</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Regularises harder and widens the interval, so tuning it on point loss would tune interval width too</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Early-stopping patience</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Epochs without improvement before halting</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Fixed</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Not swept</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Permits further fitting, raising overfitting risk</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Gradient-clip norm</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Per-update gradient ceiling</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Fixed</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Not swept</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Loosens a stability guard</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Weight decay</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L2 penalty</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Zero</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Not swept — deliberately</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Would make dropout's and early stopping's contributions unattributable</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Stochastic passes B</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Draws forming the predictive moments of Equation 3.5</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Fixed</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Not swept</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Cuts Monte Carlo error as 1/√B; past a few dozen draws that error is far below the miscalibration being measured</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Batch size</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Windows per gradient step</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Fixed</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Not swept</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Smooths each update but takes fewer steps per epoch; immaterial at this sample size</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Epoch cap</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Maximum passes over the training block</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Fixed</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Not swept</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Raises only the ceiling; early stopping ends training first</w:t>
            </w:r>
          </w:p>
        </w:tc>
      </w:tr>
      <w:tr>
        <w:trPr>
          <w:cantSplit/>
          <w:tblHeader w:val="false"/>
        </w:trPr>
        <w:tc>
          <w:tcPr>
            <w:tcW w:type="dxa" w:w="1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Inner-validation fraction</w:t>
            </w:r>
          </w:p>
        </w:tc>
        <w:tc>
          <w:tcPr>
            <w:tcW w:type="dxa" w:w="18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Time-ordered tail held out for early stopping</w:t>
            </w:r>
          </w:p>
        </w:tc>
        <w:tc>
          <w:tcPr>
            <w:tcW w:type="dxa" w:w="11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Fixed</w:t>
            </w:r>
          </w:p>
        </w:tc>
        <w:tc>
          <w:tcPr>
            <w:tcW w:type="dxa" w:w="12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Not swept</w:t>
            </w:r>
          </w:p>
        </w:tc>
        <w:tc>
          <w:tcPr>
            <w:tcW w:type="dxa" w:w="33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Buys a steadier stopping signal at the cost of training rows</w:t>
            </w:r>
          </w:p>
        </w:tc>
      </w:tr>
    </w:tbl>
    <w:p>
      <w:pPr>
        <w:spacing w:after="90" w:before="200"/>
      </w:pPr>
      <w:r>
        <w:rPr>
          <w:rFonts w:ascii="Calibri" w:cs="Calibri" w:eastAsia="Calibri" w:hAnsi="Calibri"/>
          <w:b/>
          <w:bCs/>
          <w:color w:val="111111"/>
          <w:sz w:val="19"/>
          <w:szCs w:val="19"/>
        </w:rPr>
        <w:t>Table A.4  Minimum computational requirements, derived from the architectures of Section 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cantSplit/>
          <w:tblHeader/>
        </w:trPr>
        <w:tc>
          <w:tcPr>
            <w:tcW w:type="dxa" w:w="20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Resource</w:t>
            </w:r>
          </w:p>
        </w:tc>
        <w:tc>
          <w:tcPr>
            <w:tcW w:type="dxa" w:w="22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Requirement</w:t>
            </w:r>
          </w:p>
        </w:tc>
        <w:tc>
          <w:tcPr>
            <w:tcW w:type="dxa" w:w="482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Basis</w:t>
            </w:r>
          </w:p>
        </w:tc>
      </w:tr>
      <w:tr>
        <w:trPr>
          <w:cantSplit/>
          <w:tblHeader w:val="false"/>
        </w:trPr>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Trainable parameters</w:t>
            </w:r>
          </w:p>
        </w:tc>
        <w:tc>
          <w:tcPr>
            <w:tcW w:type="dxa" w:w="2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4H(F + H) + 9H + 1 per network, times K for the mixture</w:t>
            </w:r>
          </w:p>
        </w:tc>
        <w:tc>
          <w:tcPr>
            <w:tcW w:type="dxa" w:w="48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H the hidden width, F the input features, K the number of states; Chapter 4 reports the instantiated counts</w:t>
            </w:r>
          </w:p>
        </w:tc>
      </w:tr>
      <w:tr>
        <w:trPr>
          <w:cantSplit/>
          <w:tblHeader w:val="false"/>
        </w:trPr>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Model size</w:t>
            </w:r>
          </w:p>
        </w:tc>
        <w:tc>
          <w:tcPr>
            <w:tcW w:type="dxa" w:w="2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Four bytes per parameter</w:t>
            </w:r>
          </w:p>
        </w:tc>
        <w:tc>
          <w:tcPr>
            <w:tcW w:type="dxa" w:w="48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Single precision; a few megabytes at any width in the Appendix A.3 grid</w:t>
            </w:r>
          </w:p>
        </w:tc>
      </w:tr>
      <w:tr>
        <w:trPr>
          <w:cantSplit/>
          <w:tblHeader w:val="false"/>
        </w:trPr>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Training data in memory</w:t>
            </w:r>
          </w:p>
        </w:tc>
        <w:tc>
          <w:tcPr>
            <w:tcW w:type="dxa" w:w="2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Under a megabyte</w:t>
            </w:r>
          </w:p>
        </w:tc>
        <w:tc>
          <w:tcPr>
            <w:tcW w:type="dxa" w:w="48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A daily series of a few thousand rows and a handful of columns</w:t>
            </w:r>
          </w:p>
        </w:tc>
      </w:tr>
      <w:tr>
        <w:trPr>
          <w:cantSplit/>
          <w:tblHeader w:val="false"/>
        </w:trPr>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Accelerator</w:t>
            </w:r>
          </w:p>
        </w:tc>
        <w:tc>
          <w:tcPr>
            <w:tcW w:type="dxa" w:w="2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None</w:t>
            </w:r>
          </w:p>
        </w:tc>
        <w:tc>
          <w:tcPr>
            <w:tcW w:type="dxa" w:w="48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CPU throughout</w:t>
            </w:r>
          </w:p>
        </w:tc>
      </w:tr>
      <w:tr>
        <w:trPr>
          <w:cantSplit/>
          <w:tblHeader w:val="false"/>
        </w:trPr>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End-to-end runtime</w:t>
            </w:r>
          </w:p>
        </w:tc>
        <w:tc>
          <w:tcPr>
            <w:tcW w:type="dxa" w:w="2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Minutes rather than hours on the configuration above</w:t>
            </w:r>
          </w:p>
        </w:tc>
        <w:tc>
          <w:tcPr>
            <w:tcW w:type="dxa" w:w="48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Chapter 4 reports the measured wall-clock, hyperparameter search included</w:t>
            </w:r>
          </w:p>
        </w:tc>
      </w:tr>
      <w:tr>
        <w:trPr>
          <w:cantSplit/>
          <w:tblHeader w:val="false"/>
        </w:trPr>
        <w:tc>
          <w:tcPr>
            <w:tcW w:type="dxa" w:w="20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Inference</w:t>
            </w:r>
          </w:p>
        </w:tc>
        <w:tc>
          <w:tcPr>
            <w:tcW w:type="dxa" w:w="2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One forward pass per day</w:t>
            </w:r>
          </w:p>
        </w:tc>
        <w:tc>
          <w:tcPr>
            <w:tcW w:type="dxa" w:w="48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binding cost is input data, not computation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021c43aaddbbffb2eec793cfdff615a93a8dc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Methodology</dc:title>
  <dc:creator>MSc Dissertation</dc:creator>
  <cp:lastModifiedBy>Un-named</cp:lastModifiedBy>
  <cp:revision>1</cp:revision>
  <dcterms:created xsi:type="dcterms:W3CDTF">2026-08-31T21:15:36.745Z</dcterms:created>
  <dcterms:modified xsi:type="dcterms:W3CDTF">2026-08-31T21:15:36.745Z</dcterms:modified>
</cp:coreProperties>
</file>

<file path=docProps/custom.xml><?xml version="1.0" encoding="utf-8"?>
<Properties xmlns="http://schemas.openxmlformats.org/officeDocument/2006/custom-properties" xmlns:vt="http://schemas.openxmlformats.org/officeDocument/2006/docPropsVTypes"/>
</file>