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20"/>
      </w:pPr>
      <w:r>
        <w:rPr>
          <w:rFonts w:ascii="Calibri" w:cs="Calibri" w:eastAsia="Calibri" w:hAnsi="Calibri"/>
          <w:b/>
          <w:bCs/>
          <w:color w:val="111111"/>
          <w:sz w:val="30"/>
          <w:szCs w:val="30"/>
        </w:rPr>
        <w:t xml:space="preserve">Methodology</w:t>
      </w:r>
    </w:p>
    <w:p>
      <w:pPr>
        <w:pStyle w:val="Heading2"/>
        <w:spacing w:after="180" w:before="320"/>
      </w:pPr>
      <w:r>
        <w:rPr>
          <w:rFonts w:ascii="Calibri" w:cs="Calibri" w:eastAsia="Calibri" w:hAnsi="Calibri"/>
          <w:b/>
          <w:bCs/>
          <w:color w:val="111111"/>
          <w:sz w:val="26"/>
          <w:szCs w:val="26"/>
        </w:rPr>
        <w:t xml:space="preserve">3.1  Research Design and Overview of the Proposed Method</w:t>
      </w:r>
    </w:p>
    <w:p>
      <w:pPr>
        <w:spacing w:after="160" w:line="320"/>
        <w:jc w:val="both"/>
      </w:pPr>
      <w:r>
        <w:t>This chapter specifies the method: the data it requires, how each component is built, how its parameters are chosen, and how forecasts are judged. It is written to be reproducible without sight of the implementation and to apply to any dataset meeting Section 3.2's requirements; the values these procedures return belong to Chapter 4.</w:t>
      </w:r>
    </w:p>
    <w:p>
      <w:pPr>
        <w:spacing w:after="160" w:line="320"/>
        <w:jc w:val="both"/>
      </w:pPr>
      <w:r>
        <w:t>The paradigm is a controlled comparative evaluation. Chapter 2 found the gap to be one of integration rather than invention, the econometric, regime-switching, deep-learning and uncertainty-quantification traditions having matured separately, so the object under test is the assembled pipeline rather than a novel architecture: all models forecast the same target over the same window, on the same losses and tests, and only the component under examination varies. Each research question concerns a different property of the predictive distribution — RQ1 the conditional mean, judged on point loss; RQ2 whether that loss depends on the market state, judged on conditional predictive ability; RQ3 the interval, judged on coverage, sharpness and proper scores.</w:t>
      </w:r>
    </w:p>
    <w:p>
      <w:pPr>
        <w:spacing w:after="160" w:line="320"/>
        <w:jc w:val="both"/>
      </w:pPr>
      <w:r>
        <w:t>Figure 3.1 shows the pipeline, Sections 3.2 to 3.7 taking its stages in order. The target is realised variance rather than realised volatility, every loss computed on the variance scale, and Table 3.1 fixes each model's role, Appendix C.1 the symbols used throughout, and Appendix C.2 names every model that fills a role. One asset carries the primary analysis while a reduced design tests transfer to two others, a scope decision set out in Section 3.9. The study uses only aggregate published data, so there are no human participants; but volatility forecasts inform capital decisions, so an over-confident interval is not a neutral error, which is why RQ3 tests calibration rather than assuming it.</w:t>
      </w:r>
    </w:p>
    <w:p>
      <w:pPr>
        <w:pStyle w:val="Caption"/>
      </w:pPr>
      <w:r>
        <w:t>Table 3.1  Model inventory: the role each model plays in the comparison. The terms in the left-hand column are used with these meanings in every subsequent chapter.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9"/>
                <w:szCs w:val="19"/>
              </w:rPr>
              <w:t xml:space="preserve">Term</w:t>
            </w:r>
          </w:p>
        </w:tc>
        <w:tc>
          <w:tcPr>
            <w:tcW w:type="dxa" w:w="662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9"/>
                <w:szCs w:val="19"/>
              </w:rPr>
              <w:t xml:space="preserve">Role in this study</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Econometric baseline</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GARCH(1,1), EGARCH, HAR-RV. Established models the approach must clear; each isolates one competing explanation (Table 3.3).</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Reference floor</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A random walk in variance. Not a baseline: the accuracy persistence alone attains.</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Unconditional network</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An LSTM receiving no regime information. The control.</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Regime-conditioned network</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An LSTM receiving the state posterior, by either architecture in Section 3.4.</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Regime signal</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The per-day distribution over states from Section 3.3, using forecast-origin information only.</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Ablation</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A specification removing one component to attribute an effect, not to compete.</w:t>
            </w:r>
          </w:p>
        </w:tc>
      </w:tr>
      <w:tr>
        <w:trPr>
          <w:cantSplit/>
          <w:tblHeader w:val="false"/>
        </w:trPr>
        <w:tc>
          <w:tcPr>
            <w:tcW w:type="dxa" w:w="2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Headline / comparator profile</w:t>
            </w:r>
          </w:p>
        </w:tc>
        <w:tc>
          <w:tcPr>
            <w:tcW w:type="dxa" w:w="662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9"/>
                <w:szCs w:val="19"/>
              </w:rPr>
              <w:t xml:space="preserve">The pipeline on the jump-penalised state estimator (pre-registered), and re-run on a maximum-likelihood one to test estimator dependence.</w:t>
            </w:r>
          </w:p>
        </w:tc>
      </w:tr>
    </w:tbl>
    <w:p>
      <w:pPr>
        <w:spacing w:after="90" w:before="260"/>
        <w:jc w:val="center"/>
      </w:pPr>
      <w:r>
        <w:drawing>
          <wp:inline distT="0" distB="0" distL="0" distR="0">
            <wp:extent cx="4295775"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95775" cy="4105275"/>
                    </a:xfrm>
                    <a:prstGeom prst="rect">
                      <a:avLst/>
                    </a:prstGeom>
                  </pic:spPr>
                </pic:pic>
              </a:graphicData>
            </a:graphic>
          </wp:inline>
        </w:drawing>
      </w:r>
    </w:p>
    <w:p>
      <w:pPr>
        <w:pStyle w:val="Caption"/>
      </w:pPr>
      <w:r>
        <w:t>Figure 3.1. The forecasting pipeline. Solid arrows carry data; the dashed arrows carry the regime signal, estimated on the training window only. The bracket marks the stages run at every forecast origin; each estimation box states its own refit cadence, which differs by model family for the reasons given in Section 3.6. The econometric baselines state no predictive law, so Stage 5 produces nothing for them and only the network path reaches the interval criteria. Section 3.9 re-runs the pipeline on two further markets with a reduced board and without Stage 5.</w:t>
      </w:r>
    </w:p>
    <w:p>
      <w:pPr>
        <w:pStyle w:val="Heading2"/>
        <w:spacing w:after="180" w:before="320"/>
      </w:pPr>
      <w:r>
        <w:rPr>
          <w:rFonts w:ascii="Calibri" w:cs="Calibri" w:eastAsia="Calibri" w:hAnsi="Calibri"/>
          <w:b/>
          <w:bCs/>
          <w:color w:val="111111"/>
          <w:sz w:val="26"/>
          <w:szCs w:val="26"/>
        </w:rPr>
        <w:t xml:space="preserve">3.2  Data Requirements</w:t>
      </w:r>
    </w:p>
    <w:p>
      <w:pPr>
        <w:spacing w:after="160" w:line="320"/>
        <w:jc w:val="both"/>
      </w:pPr>
      <w:r>
        <w:t>The method is specified against a data interface rather than a source: any series meeting the requirements below drives the pipeline unchanged, and Chapter 4 names the series used. The dependent variable is daily realised variance, formed from intraday prices as the sum of squared intraday returns:</w:t>
      </w:r>
    </w:p>
    <w:p>
      <w:pPr>
        <w:tabs>
          <w:tab w:val="center" w:pos="4513"/>
          <w:tab w:val="right" w:pos="9026"/>
        </w:tabs>
        <w:spacing w:after="220" w:before="220" w:line="320"/>
      </w:pPr>
      <w:r>
        <w:t xml:space="preserve">	</w:t>
      </w:r>
      <w:r>
        <w:rPr>
          <w:rFonts w:ascii="Cambria Math" w:cs="Cambria Math" w:eastAsia="Cambria Math" w:hAnsi="Cambria Math"/>
          <w:i/>
          <w:iCs/>
          <w:color w:val="111111"/>
          <w:sz w:val="24"/>
          <w:szCs w:val="24"/>
        </w:rPr>
        <w:t xml:space="preserve">RV</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w:t>
      </w:r>
      <w:r>
        <w:rPr>
          <w:rFonts w:ascii="Cambria Math" w:cs="Cambria Math" w:eastAsia="Cambria Math" w:hAnsi="Cambria Math"/>
          <w:color w:val="111111"/>
          <w:sz w:val="24"/>
          <w:szCs w:val="24"/>
        </w:rPr>
        <w:t xml:space="preserve">Σ</w:t>
      </w:r>
      <w:r>
        <w:rPr>
          <w:rFonts w:ascii="Cambria Math" w:cs="Cambria Math" w:eastAsia="Cambria Math" w:hAnsi="Cambria Math"/>
          <w:color w:val="111111"/>
          <w:sz w:val="20"/>
          <w:szCs w:val="20"/>
          <w:vertAlign w:val="subscript"/>
        </w:rPr>
        <w:t xml:space="preserve">i=1</w:t>
      </w:r>
      <w:r>
        <w:rPr>
          <w:rFonts w:ascii="Cambria Math" w:cs="Cambria Math" w:eastAsia="Cambria Math" w:hAnsi="Cambria Math"/>
          <w:i/>
          <w:iCs/>
          <w:color w:val="111111"/>
          <w:sz w:val="20"/>
          <w:szCs w:val="20"/>
          <w:vertAlign w:val="superscript"/>
        </w:rPr>
        <w:t xml:space="preserve">M</w:t>
      </w:r>
      <w:r>
        <w:rPr>
          <w:rFonts w:ascii="Cambria Math" w:cs="Cambria Math" w:eastAsia="Cambria Math" w:hAnsi="Cambria Math"/>
          <w:color w:val="111111"/>
          <w:sz w:val="24"/>
          <w:szCs w:val="24"/>
        </w:rPr>
        <w:t xml:space="preserve"> </w:t>
      </w:r>
      <w:r>
        <w:rPr>
          <w:rFonts w:ascii="Cambria Math" w:cs="Cambria Math" w:eastAsia="Cambria Math" w:hAnsi="Cambria Math"/>
          <w:i/>
          <w:iCs/>
          <w:color w:val="111111"/>
          <w:sz w:val="24"/>
          <w:szCs w:val="24"/>
        </w:rPr>
        <w:t xml:space="preserve">r</w:t>
      </w:r>
      <w:r>
        <w:rPr>
          <w:rFonts w:ascii="Cambria Math" w:cs="Cambria Math" w:eastAsia="Cambria Math" w:hAnsi="Cambria Math"/>
          <w:i/>
          <w:iCs/>
          <w:color w:val="111111"/>
          <w:sz w:val="24"/>
          <w:szCs w:val="24"/>
          <w:vertAlign w:val="subscript"/>
        </w:rPr>
        <w:t xml:space="preserve">t,i</w:t>
      </w:r>
      <w:r>
        <w:rPr>
          <w:rFonts w:ascii="Cambria Math" w:cs="Cambria Math" w:eastAsia="Cambria Math" w:hAnsi="Cambria Math"/>
          <w:color w:val="111111"/>
          <w:sz w:val="20"/>
          <w:szCs w:val="20"/>
          <w:vertAlign w:val="superscript"/>
        </w:rPr>
        <w:t xml:space="preserve">2</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 xml:space="preserve">r</w:t>
      </w:r>
      <w:r>
        <w:rPr>
          <w:rFonts w:ascii="Cambria Math" w:cs="Cambria Math" w:eastAsia="Cambria Math" w:hAnsi="Cambria Math"/>
          <w:i/>
          <w:iCs/>
          <w:color w:val="111111"/>
          <w:sz w:val="24"/>
          <w:szCs w:val="24"/>
          <w:vertAlign w:val="subscript"/>
        </w:rPr>
        <w:t xml:space="preserve">t,i</w:t>
      </w:r>
      <w:r>
        <w:rPr>
          <w:rFonts w:ascii="Cambria Math" w:cs="Cambria Math" w:eastAsia="Cambria Math" w:hAnsi="Cambria Math"/>
          <w:color w:val="111111"/>
          <w:sz w:val="24"/>
          <w:szCs w:val="24"/>
        </w:rPr>
        <w:t xml:space="preserve">  =  log </w:t>
      </w:r>
      <w:r>
        <w:rPr>
          <w:rFonts w:ascii="Cambria Math" w:cs="Cambria Math" w:eastAsia="Cambria Math" w:hAnsi="Cambria Math"/>
          <w:i/>
          <w:iCs/>
          <w:color w:val="111111"/>
          <w:sz w:val="24"/>
          <w:szCs w:val="24"/>
        </w:rPr>
        <w:t xml:space="preserve">P</w:t>
      </w:r>
      <w:r>
        <w:rPr>
          <w:rFonts w:ascii="Cambria Math" w:cs="Cambria Math" w:eastAsia="Cambria Math" w:hAnsi="Cambria Math"/>
          <w:i/>
          <w:iCs/>
          <w:color w:val="111111"/>
          <w:sz w:val="24"/>
          <w:szCs w:val="24"/>
          <w:vertAlign w:val="subscript"/>
        </w:rPr>
        <w:t xml:space="preserve">t,i</w:t>
      </w:r>
      <w:r>
        <w:rPr>
          <w:rFonts w:ascii="Cambria Math" w:cs="Cambria Math" w:eastAsia="Cambria Math" w:hAnsi="Cambria Math"/>
          <w:color w:val="111111"/>
          <w:sz w:val="24"/>
          <w:szCs w:val="24"/>
        </w:rPr>
        <w:t xml:space="preserve">  −  log </w:t>
      </w:r>
      <w:r>
        <w:rPr>
          <w:rFonts w:ascii="Cambria Math" w:cs="Cambria Math" w:eastAsia="Cambria Math" w:hAnsi="Cambria Math"/>
          <w:i/>
          <w:iCs/>
          <w:color w:val="111111"/>
          <w:sz w:val="24"/>
          <w:szCs w:val="24"/>
        </w:rPr>
        <w:t xml:space="preserve">P</w:t>
      </w:r>
      <w:r>
        <w:rPr>
          <w:rFonts w:ascii="Cambria Math" w:cs="Cambria Math" w:eastAsia="Cambria Math" w:hAnsi="Cambria Math"/>
          <w:i/>
          <w:iCs/>
          <w:color w:val="111111"/>
          <w:sz w:val="24"/>
          <w:szCs w:val="24"/>
          <w:vertAlign w:val="subscript"/>
        </w:rPr>
        <w:t xml:space="preserve">t,i−1</w:t>
      </w:r>
      <w:r>
        <w:t xml:space="preserve">	(3.1)</w:t>
      </w:r>
    </w:p>
    <w:p>
      <w:pPr>
        <w:spacing w:after="160" w:line="320"/>
        <w:jc w:val="both"/>
      </w:pPr>
      <w:r>
        <w:t xml:space="preserve">where </w:t>
      </w:r>
      <w:r>
        <w:rPr>
          <w:i/>
          <w:iCs/>
        </w:rPr>
        <w:t xml:space="preserve">P</w:t>
      </w:r>
      <w:r>
        <w:rPr>
          <w:i/>
          <w:iCs/>
          <w:sz w:val="19"/>
          <w:szCs w:val="19"/>
          <w:vertAlign w:val="subscript"/>
        </w:rPr>
        <w:t xml:space="preserve">t,i</w:t>
      </w:r>
      <w:r>
        <w:t xml:space="preserve"> is the </w:t>
      </w:r>
      <w:r>
        <w:rPr>
          <w:i/>
          <w:iCs/>
        </w:rPr>
        <w:t xml:space="preserve">i</w:t>
      </w:r>
      <w:r>
        <w:t xml:space="preserve">-th price on day </w:t>
      </w:r>
      <w:r>
        <w:rPr>
          <w:i/>
          <w:iCs/>
        </w:rPr>
        <w:t xml:space="preserve">t</w:t>
      </w:r>
      <w:r>
        <w:t xml:space="preserve"> on a fixed grid of </w:t>
      </w:r>
      <w:r>
        <w:rPr>
          <w:i/>
          <w:iCs/>
        </w:rPr>
        <w:t xml:space="preserve">M</w:t>
      </w:r>
      <w:r>
        <w:t xml:space="preserve"> intervals, </w:t>
      </w:r>
      <w:r>
        <w:rPr>
          <w:i/>
          <w:iCs/>
        </w:rPr>
        <w:t xml:space="preserve">r</w:t>
      </w:r>
      <w:r>
        <w:rPr>
          <w:i/>
          <w:iCs/>
          <w:sz w:val="19"/>
          <w:szCs w:val="19"/>
          <w:vertAlign w:val="subscript"/>
        </w:rPr>
        <w:t xml:space="preserve">t,i</w:t>
      </w:r>
      <w:r>
        <w:t xml:space="preserve"> the corresponding intraday log return, and </w:t>
      </w:r>
      <w:r>
        <w:rPr>
          <w:i/>
          <w:iCs/>
        </w:rPr>
        <w:t xml:space="preserve">RV</w:t>
      </w:r>
      <w:r>
        <w:rPr>
          <w:i/>
          <w:iCs/>
          <w:sz w:val="19"/>
          <w:szCs w:val="19"/>
          <w:vertAlign w:val="subscript"/>
        </w:rPr>
        <w:t xml:space="preserve">t</w:t>
      </w:r>
      <w:r>
        <w:t xml:space="preserve"> the realised variance of day </w:t>
      </w:r>
      <w:r>
        <w:rPr>
          <w:i/>
          <w:iCs/>
        </w:rPr>
        <w:t xml:space="preserve">t</w:t>
      </w:r>
      <w:r>
        <w:t xml:space="preserve">, which converges to integrated variance as the grid is refined (Andersen et al., 2003). The grid must be fixed and documented, not of any particular width: a finer grid lowers discretisation error but admits more microstructure noise, five minutes being the conventional compromise (Liu, Patton and Sheppard, 2015). The target must be strictly positive, the models being estimated on its logarithm under a ratio loss, and it is a variance rather than a standard deviation, the two not being interchangeable under a non-linear loss.</w:t>
      </w:r>
    </w:p>
    <w:p>
      <w:pPr>
        <w:spacing w:after="160" w:line="320"/>
        <w:jc w:val="both"/>
      </w:pPr>
      <w:r>
        <w:t>Predictor requirements stay modest, the Section 3.4 comparison being interpretable only if every model draws on the same information set; Table 3.2 gives the interface. An auxiliary implied-volatility series must price options on the same market as the target, one from another market being a spillover experiment rather than a feature. Rows missing a required field are dropped, never imputed, the missing quantity being the object forecast.</w:t>
      </w:r>
    </w:p>
    <w:p>
      <w:pPr>
        <w:pStyle w:val="Caption"/>
      </w:pPr>
      <w:r>
        <w:t>Table 3.2  Data dictionary: what the method requires of any input series.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640"/>
        <w:gridCol w:w="1240"/>
        <w:gridCol w:w="2040"/>
        <w:gridCol w:w="3206"/>
      </w:tblGrid>
      <w:tr>
        <w:trPr>
          <w:cantSplit/>
          <w:tblHeader/>
        </w:trPr>
        <w:tc>
          <w:tcPr>
            <w:tcW w:type="dxa" w:w="19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Field</w:t>
            </w:r>
          </w:p>
        </w:tc>
        <w:tc>
          <w:tcPr>
            <w:tcW w:type="dxa" w:w="64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Type</w:t>
            </w:r>
          </w:p>
        </w:tc>
        <w:tc>
          <w:tcPr>
            <w:tcW w:type="dxa" w:w="124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Status</w:t>
            </w:r>
          </w:p>
        </w:tc>
        <w:tc>
          <w:tcPr>
            <w:tcW w:type="dxa" w:w="204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Constraint</w:t>
            </w:r>
          </w:p>
        </w:tc>
        <w:tc>
          <w:tcPr>
            <w:tcW w:type="dxa" w:w="320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Purpose</w:t>
            </w:r>
          </w:p>
        </w:tc>
      </w:tr>
      <w:tr>
        <w:trPr>
          <w:cantSplit/>
          <w:tblHeader w:val="false"/>
        </w:trPr>
        <w:tc>
          <w:tcPr>
            <w:tcW w:type="dxa" w:w="1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date</w:t>
            </w:r>
          </w:p>
        </w:tc>
        <w:tc>
          <w:tcPr>
            <w:tcW w:type="dxa" w:w="6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date</w:t>
            </w:r>
          </w:p>
        </w:tc>
        <w:tc>
          <w:tcPr>
            <w:tcW w:type="dxa" w:w="12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Required</w:t>
            </w:r>
          </w:p>
        </w:tc>
        <w:tc>
          <w:tcPr>
            <w:tcW w:type="dxa" w:w="20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Unique, ascending, trading days</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Join key for all sources</w:t>
            </w:r>
          </w:p>
        </w:tc>
      </w:tr>
      <w:tr>
        <w:trPr>
          <w:cantSplit/>
          <w:tblHeader w:val="false"/>
        </w:trPr>
        <w:tc>
          <w:tcPr>
            <w:tcW w:type="dxa" w:w="1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Intraday prices, or a realised measure</w:t>
            </w:r>
          </w:p>
        </w:tc>
        <w:tc>
          <w:tcPr>
            <w:tcW w:type="dxa" w:w="6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float</w:t>
            </w:r>
          </w:p>
        </w:tc>
        <w:tc>
          <w:tcPr>
            <w:tcW w:type="dxa" w:w="12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Required</w:t>
            </w:r>
          </w:p>
        </w:tc>
        <w:tc>
          <w:tcPr>
            <w:tcW w:type="dxa" w:w="20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Fixed documented grid; positive</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Forecast target </w:t>
            </w:r>
            <w:r>
              <w:rPr>
                <w:rFonts w:ascii="Calibri" w:cs="Calibri" w:eastAsia="Calibri" w:hAnsi="Calibri"/>
                <w:b w:val="false"/>
                <w:bCs w:val="false"/>
                <w:i/>
                <w:iCs/>
                <w:color w:val="444444"/>
                <w:sz w:val="18"/>
                <w:szCs w:val="18"/>
              </w:rPr>
              <w:t xml:space="preserve">RV</w:t>
            </w:r>
            <w:r>
              <w:rPr>
                <w:rFonts w:ascii="Calibri" w:cs="Calibri" w:eastAsia="Calibri" w:hAnsi="Calibri"/>
                <w:b w:val="false"/>
                <w:bCs w:val="false"/>
                <w:i/>
                <w:iCs/>
                <w:color w:val="444444"/>
                <w:sz w:val="15"/>
                <w:szCs w:val="15"/>
                <w:vertAlign w:val="subscript"/>
              </w:rPr>
              <w:t xml:space="preserve">t</w:t>
            </w:r>
            <w:r>
              <w:rPr>
                <w:rFonts w:ascii="Calibri" w:cs="Calibri" w:eastAsia="Calibri" w:hAnsi="Calibri"/>
                <w:b w:val="false"/>
                <w:bCs w:val="false"/>
                <w:color w:val="444444"/>
                <w:sz w:val="18"/>
                <w:szCs w:val="18"/>
              </w:rPr>
              <w:t xml:space="preserve"> (Eq. 3.1)</w:t>
            </w:r>
          </w:p>
        </w:tc>
      </w:tr>
      <w:tr>
        <w:trPr>
          <w:cantSplit/>
          <w:tblHeader w:val="false"/>
        </w:trPr>
        <w:tc>
          <w:tcPr>
            <w:tcW w:type="dxa" w:w="1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close</w:t>
            </w:r>
          </w:p>
        </w:tc>
        <w:tc>
          <w:tcPr>
            <w:tcW w:type="dxa" w:w="6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float</w:t>
            </w:r>
          </w:p>
        </w:tc>
        <w:tc>
          <w:tcPr>
            <w:tcW w:type="dxa" w:w="12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Required</w:t>
            </w:r>
          </w:p>
        </w:tc>
        <w:tc>
          <w:tcPr>
            <w:tcW w:type="dxa" w:w="20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Positive</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Closing price; the close-to-close return the Section 3.3 regime model emits on, and with open the session return of Table 3.3</w:t>
            </w:r>
          </w:p>
        </w:tc>
      </w:tr>
      <w:tr>
        <w:trPr>
          <w:cantSplit/>
          <w:tblHeader w:val="false"/>
        </w:trPr>
        <w:tc>
          <w:tcPr>
            <w:tcW w:type="dxa" w:w="1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open</w:t>
            </w:r>
          </w:p>
        </w:tc>
        <w:tc>
          <w:tcPr>
            <w:tcW w:type="dxa" w:w="6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float</w:t>
            </w:r>
          </w:p>
        </w:tc>
        <w:tc>
          <w:tcPr>
            <w:tcW w:type="dxa" w:w="12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Conditional</w:t>
            </w:r>
          </w:p>
        </w:tc>
        <w:tc>
          <w:tcPr>
            <w:tcW w:type="dxa" w:w="20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Required when the target is session-only; positive, same session</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With close, the open-to-close return the variance baselines take, matched to the target's session</w:t>
            </w:r>
          </w:p>
        </w:tc>
      </w:tr>
      <w:tr>
        <w:trPr>
          <w:cantSplit/>
          <w:tblHeader w:val="false"/>
        </w:trPr>
        <w:tc>
          <w:tcPr>
            <w:tcW w:type="dxa" w:w="1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Implied volatility</w:t>
            </w:r>
          </w:p>
        </w:tc>
        <w:tc>
          <w:tcPr>
            <w:tcW w:type="dxa" w:w="6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float</w:t>
            </w:r>
          </w:p>
        </w:tc>
        <w:tc>
          <w:tcPr>
            <w:tcW w:type="dxa" w:w="12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Optional</w:t>
            </w:r>
          </w:p>
        </w:tc>
        <w:tc>
          <w:tcPr>
            <w:tcW w:type="dxa" w:w="20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Positive; same market as the target</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Auxiliary input for the Section 3.4 ablation</w:t>
            </w:r>
          </w:p>
        </w:tc>
      </w:tr>
      <w:tr>
        <w:trPr>
          <w:cantSplit/>
          <w:tblHeader w:val="false"/>
        </w:trPr>
        <w:tc>
          <w:tcPr>
            <w:tcW w:type="dxa" w:w="1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i/>
                <w:iCs/>
                <w:color w:val="444444"/>
                <w:sz w:val="18"/>
                <w:szCs w:val="18"/>
              </w:rPr>
              <w:t xml:space="preserve">rv</w:t>
            </w:r>
            <w:r>
              <w:rPr>
                <w:rFonts w:ascii="Calibri" w:cs="Calibri" w:eastAsia="Calibri" w:hAnsi="Calibri"/>
                <w:b w:val="false"/>
                <w:bCs w:val="false"/>
                <w:i/>
                <w:iCs/>
                <w:color w:val="444444"/>
                <w:sz w:val="15"/>
                <w:szCs w:val="15"/>
                <w:vertAlign w:val="subscript"/>
              </w:rPr>
              <w:t xml:space="preserve">d</w:t>
            </w:r>
            <w:r>
              <w:rPr>
                <w:rFonts w:ascii="Calibri" w:cs="Calibri" w:eastAsia="Calibri" w:hAnsi="Calibri"/>
                <w:b w:val="false"/>
                <w:bCs w:val="false"/>
                <w:color w:val="444444"/>
                <w:sz w:val="18"/>
                <w:szCs w:val="18"/>
              </w:rPr>
              <w:t xml:space="preserve">, </w:t>
            </w:r>
            <w:r>
              <w:rPr>
                <w:rFonts w:ascii="Calibri" w:cs="Calibri" w:eastAsia="Calibri" w:hAnsi="Calibri"/>
                <w:b w:val="false"/>
                <w:bCs w:val="false"/>
                <w:i/>
                <w:iCs/>
                <w:color w:val="444444"/>
                <w:sz w:val="18"/>
                <w:szCs w:val="18"/>
              </w:rPr>
              <w:t xml:space="preserve">rv</w:t>
            </w:r>
            <w:r>
              <w:rPr>
                <w:rFonts w:ascii="Calibri" w:cs="Calibri" w:eastAsia="Calibri" w:hAnsi="Calibri"/>
                <w:b w:val="false"/>
                <w:bCs w:val="false"/>
                <w:i/>
                <w:iCs/>
                <w:color w:val="444444"/>
                <w:sz w:val="15"/>
                <w:szCs w:val="15"/>
                <w:vertAlign w:val="subscript"/>
              </w:rPr>
              <w:t xml:space="preserve">w</w:t>
            </w:r>
            <w:r>
              <w:rPr>
                <w:rFonts w:ascii="Calibri" w:cs="Calibri" w:eastAsia="Calibri" w:hAnsi="Calibri"/>
                <w:b w:val="false"/>
                <w:bCs w:val="false"/>
                <w:color w:val="444444"/>
                <w:sz w:val="18"/>
                <w:szCs w:val="18"/>
              </w:rPr>
              <w:t xml:space="preserve">, </w:t>
            </w:r>
            <w:r>
              <w:rPr>
                <w:rFonts w:ascii="Calibri" w:cs="Calibri" w:eastAsia="Calibri" w:hAnsi="Calibri"/>
                <w:b w:val="false"/>
                <w:bCs w:val="false"/>
                <w:i/>
                <w:iCs/>
                <w:color w:val="444444"/>
                <w:sz w:val="18"/>
                <w:szCs w:val="18"/>
              </w:rPr>
              <w:t xml:space="preserve">rv</w:t>
            </w:r>
            <w:r>
              <w:rPr>
                <w:rFonts w:ascii="Calibri" w:cs="Calibri" w:eastAsia="Calibri" w:hAnsi="Calibri"/>
                <w:b w:val="false"/>
                <w:bCs w:val="false"/>
                <w:i/>
                <w:iCs/>
                <w:color w:val="444444"/>
                <w:sz w:val="15"/>
                <w:szCs w:val="15"/>
                <w:vertAlign w:val="subscript"/>
              </w:rPr>
              <w:t xml:space="preserve">m</w:t>
            </w:r>
          </w:p>
        </w:tc>
        <w:tc>
          <w:tcPr>
            <w:tcW w:type="dxa" w:w="6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float</w:t>
            </w:r>
          </w:p>
        </w:tc>
        <w:tc>
          <w:tcPr>
            <w:tcW w:type="dxa" w:w="12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Derived</w:t>
            </w:r>
          </w:p>
        </w:tc>
        <w:tc>
          <w:tcPr>
            <w:tcW w:type="dxa" w:w="20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 5-, 22-day means of </w:t>
            </w:r>
            <w:r>
              <w:rPr>
                <w:rFonts w:ascii="Calibri" w:cs="Calibri" w:eastAsia="Calibri" w:hAnsi="Calibri"/>
                <w:b w:val="false"/>
                <w:bCs w:val="false"/>
                <w:i/>
                <w:iCs/>
                <w:color w:val="444444"/>
                <w:sz w:val="18"/>
                <w:szCs w:val="18"/>
              </w:rPr>
              <w:t xml:space="preserve">RV</w:t>
            </w:r>
            <w:r>
              <w:rPr>
                <w:rFonts w:ascii="Calibri" w:cs="Calibri" w:eastAsia="Calibri" w:hAnsi="Calibri"/>
                <w:b w:val="false"/>
                <w:bCs w:val="false"/>
                <w:i/>
                <w:iCs/>
                <w:color w:val="444444"/>
                <w:sz w:val="15"/>
                <w:szCs w:val="15"/>
                <w:vertAlign w:val="subscript"/>
              </w:rPr>
              <w:t xml:space="preserve">t</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HAR predictors (Corsi, 2009)</w:t>
            </w:r>
          </w:p>
        </w:tc>
      </w:tr>
      <w:tr>
        <w:trPr>
          <w:cantSplit/>
          <w:tblHeader w:val="false"/>
        </w:trPr>
        <w:tc>
          <w:tcPr>
            <w:tcW w:type="dxa" w:w="19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log </w:t>
            </w:r>
            <w:r>
              <w:rPr>
                <w:rFonts w:ascii="Calibri" w:cs="Calibri" w:eastAsia="Calibri" w:hAnsi="Calibri"/>
                <w:b w:val="false"/>
                <w:bCs w:val="false"/>
                <w:i/>
                <w:iCs/>
                <w:color w:val="444444"/>
                <w:sz w:val="18"/>
                <w:szCs w:val="18"/>
              </w:rPr>
              <w:t xml:space="preserve">RV</w:t>
            </w:r>
            <w:r>
              <w:rPr>
                <w:rFonts w:ascii="Calibri" w:cs="Calibri" w:eastAsia="Calibri" w:hAnsi="Calibri"/>
                <w:b w:val="false"/>
                <w:bCs w:val="false"/>
                <w:i/>
                <w:iCs/>
                <w:color w:val="444444"/>
                <w:sz w:val="15"/>
                <w:szCs w:val="15"/>
                <w:vertAlign w:val="subscript"/>
              </w:rPr>
              <w:t xml:space="preserve">t</w:t>
            </w:r>
          </w:p>
        </w:tc>
        <w:tc>
          <w:tcPr>
            <w:tcW w:type="dxa" w:w="6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float</w:t>
            </w:r>
          </w:p>
        </w:tc>
        <w:tc>
          <w:tcPr>
            <w:tcW w:type="dxa" w:w="12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Derived</w:t>
            </w:r>
          </w:p>
        </w:tc>
        <w:tc>
          <w:tcPr>
            <w:tcW w:type="dxa" w:w="20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Finite</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The scale every network is estimated on</w:t>
            </w:r>
          </w:p>
        </w:tc>
      </w:tr>
    </w:tbl>
    <w:p>
      <w:pPr>
        <w:spacing w:after="260" w:line="280"/>
      </w:pPr>
      <w:r>
        <w:rPr>
          <w:color w:val="444444"/>
          <w:sz w:val="18"/>
          <w:szCs w:val="18"/>
        </w:rPr>
        <w:t xml:space="preserve">Minimum history: 22 + </w:t>
      </w:r>
      <w:r>
        <w:rPr>
          <w:i/>
          <w:iCs/>
          <w:color w:val="444444"/>
          <w:sz w:val="18"/>
          <w:szCs w:val="18"/>
        </w:rPr>
        <w:t xml:space="preserve">L</w:t>
      </w:r>
      <w:r>
        <w:rPr>
          <w:color w:val="444444"/>
          <w:sz w:val="18"/>
          <w:szCs w:val="18"/>
        </w:rPr>
        <w:t xml:space="preserve"> trading days of warm-up (the monthly HAR aggregate plus the network lookback), then the training, validation and test windows of Section 3.6. The horizon is one trading day: every forecast of day t draws only on information dated t−1 or earlier, and multi-step forecasting lies outside this design.</w:t>
      </w:r>
    </w:p>
    <w:p>
      <w:pPr>
        <w:pStyle w:val="Heading2"/>
        <w:spacing w:after="180" w:before="320"/>
      </w:pPr>
      <w:r>
        <w:rPr>
          <w:rFonts w:ascii="Calibri" w:cs="Calibri" w:eastAsia="Calibri" w:hAnsi="Calibri"/>
          <w:b/>
          <w:bCs/>
          <w:color w:val="111111"/>
          <w:sz w:val="26"/>
          <w:szCs w:val="26"/>
        </w:rPr>
        <w:t xml:space="preserve">3.3  Regime Identification</w:t>
      </w:r>
    </w:p>
    <w:p>
      <w:pPr>
        <w:spacing w:after="160" w:line="320"/>
        <w:jc w:val="both"/>
      </w:pPr>
      <w:r>
        <w:t xml:space="preserve">This stage produces the regime signal of Table 3.1: for every trading day, a distribution over </w:t>
      </w:r>
      <w:r>
        <w:rPr>
          <w:i/>
          <w:iCs/>
        </w:rPr>
        <w:t xml:space="preserve">K</w:t>
      </w:r>
      <w:r>
        <w:t xml:space="preserve"> latent market states formed without reference to the future. Three requirements shape the estimator: unsupervised, since no labelled regimes exist; persistent, since a signal changing every few days injects noise into anything conditioned on it; and causal at the point of use. The standard instrument, a Gaussian-emission hidden Markov model estimated by maximum likelihood (Hamilton, 1989), fails the second — expectation-maximisation switches states faster than the data warrant (Nystrup, Lindström and Madsen, 2020). This design adopts their remedy of penalising switching directly, keeping the maximum-likelihood fit as the comparator. Over the state path {</w:t>
      </w:r>
      <w:r>
        <w:rPr>
          <w:i/>
          <w:iCs/>
        </w:rPr>
        <w:t xml:space="preserve">s</w:t>
      </w:r>
      <w:r>
        <w:rPr>
          <w:i/>
          <w:iCs/>
          <w:sz w:val="19"/>
          <w:szCs w:val="19"/>
          <w:vertAlign w:val="subscript"/>
        </w:rPr>
        <w:t xml:space="preserve">t</w:t>
      </w:r>
      <w:r>
        <w:t xml:space="preserve">} and parameters {</w:t>
      </w:r>
      <w:r>
        <w:rPr>
          <w:i/>
          <w:iCs/>
        </w:rPr>
        <w:t xml:space="preserve">θ</w:t>
      </w:r>
      <w:r>
        <w:rPr>
          <w:i/>
          <w:iCs/>
          <w:sz w:val="19"/>
          <w:szCs w:val="19"/>
          <w:vertAlign w:val="subscript"/>
        </w:rPr>
        <w:t xml:space="preserve">k</w:t>
      </w:r>
      <w:r>
        <w:t xml:space="preserve">}, it minimises</w:t>
      </w:r>
    </w:p>
    <w:p>
      <w:pPr>
        <w:tabs>
          <w:tab w:val="center" w:pos="4513"/>
          <w:tab w:val="right" w:pos="9026"/>
        </w:tabs>
        <w:spacing w:after="220" w:before="220" w:line="320"/>
      </w:pPr>
      <w:r>
        <w:t xml:space="preserve">	</w:t>
      </w:r>
      <w:r>
        <w:rPr>
          <w:rFonts w:ascii="Cambria Math" w:cs="Cambria Math" w:eastAsia="Cambria Math" w:hAnsi="Cambria Math"/>
          <w:color w:val="111111"/>
          <w:sz w:val="24"/>
          <w:szCs w:val="24"/>
        </w:rPr>
        <w:t xml:space="preserve">Σ</w:t>
      </w:r>
      <w:r>
        <w:rPr>
          <w:rFonts w:ascii="Cambria Math" w:cs="Cambria Math" w:eastAsia="Cambria Math" w:hAnsi="Cambria Math"/>
          <w:color w:val="111111"/>
          <w:sz w:val="20"/>
          <w:szCs w:val="20"/>
          <w:vertAlign w:val="subscript"/>
        </w:rPr>
        <w:t xml:space="preserve">t=1</w:t>
      </w:r>
      <w:r>
        <w:rPr>
          <w:rFonts w:ascii="Cambria Math" w:cs="Cambria Math" w:eastAsia="Cambria Math" w:hAnsi="Cambria Math"/>
          <w:i/>
          <w:iCs/>
          <w:color w:val="111111"/>
          <w:sz w:val="20"/>
          <w:szCs w:val="20"/>
          <w:vertAlign w:val="superscript"/>
        </w:rPr>
        <w:t xml:space="preserve">T</w:t>
      </w:r>
      <w:r>
        <w:rPr>
          <w:rFonts w:ascii="Cambria Math" w:cs="Cambria Math" w:eastAsia="Cambria Math" w:hAnsi="Cambria Math"/>
          <w:color w:val="111111"/>
          <w:sz w:val="24"/>
          <w:szCs w:val="24"/>
        </w:rPr>
        <w:t xml:space="preserve"> </w:t>
      </w:r>
      <w:r>
        <w:rPr>
          <w:rFonts w:ascii="Cambria Math" w:cs="Cambria Math" w:eastAsia="Cambria Math" w:hAnsi="Cambria Math"/>
          <w:i/>
          <w:iCs/>
          <w:color w:val="111111"/>
          <w:sz w:val="24"/>
          <w:szCs w:val="24"/>
        </w:rPr>
        <w:t>c</w:t>
      </w:r>
      <w:r>
        <w:rPr>
          <w:rFonts w:ascii="Cambria Math" w:cs="Cambria Math" w:eastAsia="Cambria Math" w:hAnsi="Cambria Math"/>
          <w:color w:val="111111"/>
          <w:sz w:val="24"/>
          <w:szCs w:val="24"/>
        </w:rPr>
        <w:t xml:space="preserve">(</w:t>
      </w:r>
      <w:r>
        <w:rPr>
          <w:rFonts w:ascii="Cambria Math" w:cs="Cambria Math" w:eastAsia="Cambria Math" w:hAnsi="Cambria Math"/>
          <w:i/>
          <w:iCs/>
          <w:color w:val="111111"/>
          <w:sz w:val="24"/>
          <w:szCs w:val="24"/>
        </w:rPr>
        <w:t>z</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w:t>
      </w:r>
      <w:r>
        <w:rPr>
          <w:rFonts w:ascii="Cambria Math" w:cs="Cambria Math" w:eastAsia="Cambria Math" w:hAnsi="Cambria Math"/>
          <w:i/>
          <w:iCs/>
          <w:color w:val="111111"/>
          <w:sz w:val="24"/>
          <w:szCs w:val="24"/>
        </w:rPr>
        <w:t xml:space="preserve">θ</w:t>
      </w:r>
      <w:r>
        <w:rPr>
          <w:rFonts w:ascii="Cambria Math" w:cs="Cambria Math" w:eastAsia="Cambria Math" w:hAnsi="Cambria Math"/>
          <w:i/>
          <w:iCs/>
          <w:color w:val="111111"/>
          <w:sz w:val="24"/>
          <w:szCs w:val="24"/>
          <w:vertAlign w:val="subscript"/>
        </w:rPr>
        <w:t xml:space="preserve">sₜ</w:t>
      </w:r>
      <w:r>
        <w:rPr>
          <w:rFonts w:ascii="Cambria Math" w:cs="Cambria Math" w:eastAsia="Cambria Math" w:hAnsi="Cambria Math"/>
          <w:color w:val="111111"/>
          <w:sz w:val="24"/>
          <w:szCs w:val="24"/>
        </w:rPr>
        <w:t xml:space="preserve">)</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 xml:space="preserve">λ</w:t>
      </w:r>
      <w:r>
        <w:rPr>
          <w:rFonts w:ascii="Cambria Math" w:cs="Cambria Math" w:eastAsia="Cambria Math" w:hAnsi="Cambria Math"/>
          <w:color w:val="111111"/>
          <w:sz w:val="24"/>
          <w:szCs w:val="24"/>
        </w:rPr>
        <w:t xml:space="preserve"> </w:t>
      </w:r>
      <w:r>
        <w:rPr>
          <w:rFonts w:ascii="Cambria Math" w:cs="Cambria Math" w:eastAsia="Cambria Math" w:hAnsi="Cambria Math"/>
          <w:color w:val="111111"/>
          <w:sz w:val="24"/>
          <w:szCs w:val="24"/>
        </w:rPr>
        <w:t xml:space="preserve">Σ</w:t>
      </w:r>
      <w:r>
        <w:rPr>
          <w:rFonts w:ascii="Cambria Math" w:cs="Cambria Math" w:eastAsia="Cambria Math" w:hAnsi="Cambria Math"/>
          <w:color w:val="111111"/>
          <w:sz w:val="20"/>
          <w:szCs w:val="20"/>
          <w:vertAlign w:val="subscript"/>
        </w:rPr>
        <w:t xml:space="preserve">t=2</w:t>
      </w:r>
      <w:r>
        <w:rPr>
          <w:rFonts w:ascii="Cambria Math" w:cs="Cambria Math" w:eastAsia="Cambria Math" w:hAnsi="Cambria Math"/>
          <w:i/>
          <w:iCs/>
          <w:color w:val="111111"/>
          <w:sz w:val="20"/>
          <w:szCs w:val="20"/>
          <w:vertAlign w:val="superscript"/>
        </w:rPr>
        <w:t xml:space="preserve">T</w:t>
      </w:r>
      <w:r>
        <w:rPr>
          <w:rFonts w:ascii="Cambria Math" w:cs="Cambria Math" w:eastAsia="Cambria Math" w:hAnsi="Cambria Math"/>
          <w:color w:val="111111"/>
          <w:sz w:val="24"/>
          <w:szCs w:val="24"/>
        </w:rPr>
        <w:t xml:space="preserve"> 1{</w:t>
      </w:r>
      <w:r>
        <w:rPr>
          <w:rFonts w:ascii="Cambria Math" w:cs="Cambria Math" w:eastAsia="Cambria Math" w:hAnsi="Cambria Math"/>
          <w:i/>
          <w:iCs/>
          <w:color w:val="111111"/>
          <w:sz w:val="24"/>
          <w:szCs w:val="24"/>
        </w:rPr>
        <w:t xml:space="preserve">s</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 xml:space="preserve">s</w:t>
      </w:r>
      <w:r>
        <w:rPr>
          <w:rFonts w:ascii="Cambria Math" w:cs="Cambria Math" w:eastAsia="Cambria Math" w:hAnsi="Cambria Math"/>
          <w:i/>
          <w:iCs/>
          <w:color w:val="111111"/>
          <w:sz w:val="24"/>
          <w:szCs w:val="24"/>
          <w:vertAlign w:val="subscript"/>
        </w:rPr>
        <w:t xml:space="preserve">t−1</w:t>
      </w:r>
      <w:r>
        <w:rPr>
          <w:rFonts w:ascii="Cambria Math" w:cs="Cambria Math" w:eastAsia="Cambria Math" w:hAnsi="Cambria Math"/>
          <w:color w:val="111111"/>
          <w:sz w:val="24"/>
          <w:szCs w:val="24"/>
        </w:rPr>
        <w:t xml:space="preserve">}</w:t>
      </w:r>
      <w:r>
        <w:t xml:space="preserve">	(3.2)</w:t>
      </w:r>
    </w:p>
    <w:p>
      <w:pPr>
        <w:spacing w:after="160" w:line="320"/>
        <w:jc w:val="both"/>
      </w:pPr>
      <w:r>
        <w:t xml:space="preserve">where </w:t>
      </w:r>
      <w:r>
        <w:rPr>
          <w:i/>
          <w:iCs/>
        </w:rPr>
        <w:t>z</w:t>
      </w:r>
      <w:r>
        <w:rPr>
          <w:i/>
          <w:iCs/>
          <w:sz w:val="19"/>
          <w:szCs w:val="19"/>
          <w:vertAlign w:val="subscript"/>
        </w:rPr>
        <w:t xml:space="preserve">t</w:t>
      </w:r>
      <w:r>
        <w:t xml:space="preserve"> is the standardised regime feature vector on day </w:t>
      </w:r>
      <w:r>
        <w:rPr>
          <w:i/>
          <w:iCs/>
        </w:rPr>
        <w:t xml:space="preserve">t</w:t>
      </w:r>
      <w:r>
        <w:t xml:space="preserve">, </w:t>
      </w:r>
      <w:r>
        <w:rPr>
          <w:i/>
          <w:iCs/>
        </w:rPr>
        <w:t xml:space="preserve">T</w:t>
      </w:r>
      <w:r>
        <w:t xml:space="preserve"> the number of days in the estimation window, </w:t>
      </w:r>
      <w:r>
        <w:rPr>
          <w:i/>
          <w:iCs/>
        </w:rPr>
        <w:t xml:space="preserve">s</w:t>
      </w:r>
      <w:r>
        <w:rPr>
          <w:i/>
          <w:iCs/>
          <w:sz w:val="19"/>
          <w:szCs w:val="19"/>
          <w:vertAlign w:val="subscript"/>
        </w:rPr>
        <w:t xml:space="preserve">t</w:t>
      </w:r>
      <w:r>
        <w:t xml:space="preserve"> ∈ {1, …, </w:t>
      </w:r>
      <w:r>
        <w:rPr>
          <w:i/>
          <w:iCs/>
        </w:rPr>
        <w:t xml:space="preserve">K</w:t>
      </w:r>
      <w:r>
        <w:t xml:space="preserve">} its state, </w:t>
      </w:r>
      <w:r>
        <w:rPr>
          <w:i/>
          <w:iCs/>
        </w:rPr>
        <w:t xml:space="preserve">θ</w:t>
      </w:r>
      <w:r>
        <w:rPr>
          <w:i/>
          <w:iCs/>
          <w:sz w:val="19"/>
          <w:szCs w:val="19"/>
          <w:vertAlign w:val="subscript"/>
        </w:rPr>
        <w:t xml:space="preserve">k</w:t>
      </w:r>
      <w:r>
        <w:t xml:space="preserve"> the Gaussian mean and covariance of state </w:t>
      </w:r>
      <w:r>
        <w:rPr>
          <w:i/>
          <w:iCs/>
        </w:rPr>
        <w:t xml:space="preserve">k</w:t>
      </w:r>
      <w:r>
        <w:t xml:space="preserve">, </w:t>
      </w:r>
      <w:r>
        <w:rPr>
          <w:i/>
          <w:iCs/>
        </w:rPr>
        <w:t>c</w:t>
      </w:r>
      <w:r>
        <w:t xml:space="preserve"> the Gaussian negative log-likelihood, 1{·} the indicator and </w:t>
      </w:r>
      <w:r>
        <w:rPr>
          <w:i/>
          <w:iCs/>
        </w:rPr>
        <w:t xml:space="preserve">λ</w:t>
      </w:r>
      <w:r>
        <w:t xml:space="preserve"> ≥ 0 the penalty charged whenever the state changes. The feature vector is deliberately minimal — the daily close-to-close log return, standardised on training rows only — which is the simple Gaussian emission Section 2.4 argues for. The penalty carries the argument: at </w:t>
      </w:r>
      <w:r>
        <w:rPr>
          <w:i/>
          <w:iCs/>
        </w:rPr>
        <w:t xml:space="preserve">λ</w:t>
      </w:r>
      <w:r>
        <w:t xml:space="preserve"> = 0 the objective is atemporal clustering, and as </w:t>
      </w:r>
      <w:r>
        <w:rPr>
          <w:i/>
          <w:iCs/>
        </w:rPr>
        <w:t xml:space="preserve">λ</w:t>
      </w:r>
      <w:r>
        <w:t xml:space="preserve"> grows the fit buys persistence at the cost of responsiveness. Coordinate descent minimises it; the resulting path then serves as a route to an HMM, whose forward filter yields the filtered posterior </w:t>
      </w:r>
      <w:r>
        <w:rPr>
          <w:i/>
          <w:iCs/>
        </w:rPr>
        <w:t xml:space="preserve">ξ</w:t>
      </w:r>
      <w:r>
        <w:rPr>
          <w:i/>
          <w:iCs/>
          <w:sz w:val="19"/>
          <w:szCs w:val="19"/>
          <w:vertAlign w:val="subscript"/>
        </w:rPr>
        <w:t xml:space="preserve">t</w:t>
      </w:r>
      <w:r>
        <w:t xml:space="preserve"> = </w:t>
      </w:r>
      <w:r>
        <w:rPr>
          <w:i/>
          <w:iCs/>
        </w:rPr>
        <w:t xml:space="preserve">P(s</w:t>
      </w:r>
      <w:r>
        <w:rPr>
          <w:i/>
          <w:iCs/>
          <w:sz w:val="19"/>
          <w:szCs w:val="19"/>
          <w:vertAlign w:val="subscript"/>
        </w:rPr>
        <w:t xml:space="preserve">t</w:t>
      </w:r>
      <w:r>
        <w:rPr>
          <w:i/>
          <w:iCs/>
        </w:rPr>
        <w:t xml:space="preserve"> | z</w:t>
      </w:r>
      <w:r>
        <w:rPr>
          <w:i/>
          <w:iCs/>
          <w:sz w:val="19"/>
          <w:szCs w:val="19"/>
          <w:vertAlign w:val="subscript"/>
        </w:rPr>
        <w:t xml:space="preserve">1</w:t>
      </w:r>
      <w:r>
        <w:rPr>
          <w:i/>
          <w:iCs/>
        </w:rPr>
        <w:t>, …, z</w:t>
      </w:r>
      <w:r>
        <w:rPr>
          <w:i/>
          <w:iCs/>
          <w:sz w:val="19"/>
          <w:szCs w:val="19"/>
          <w:vertAlign w:val="subscript"/>
        </w:rPr>
        <w:t xml:space="preserve">t</w:t>
      </w:r>
      <w:r>
        <w:rPr>
          <w:i/>
          <w:iCs/>
        </w:rPr>
        <w:t xml:space="preserve">)</w:t>
      </w:r>
      <w:r>
        <w:t xml:space="preserve"> carrying the confidence the mixture of Section 3.4 needs. Causality is enforced at three points: the state model sees training rows only, the posterior used downstream is filtered rather than smoothed, and the signal is lagged one day wherever it enters a forecasting model.</w:t>
      </w:r>
    </w:p>
    <w:p>
      <w:pPr>
        <w:spacing w:after="160" w:line="320"/>
        <w:jc w:val="both"/>
      </w:pPr>
      <w:r>
        <w:t>The state count is fixed rather than fitted: three states — calm, transitional and crisis — are set in advance on the interpretability grounds of Section 2.4, a richer space diluting interpretation and inviting overfitting at this sample size. An information criterion over a small grid of candidate counts is reported as a sensitivity rather than used as the selector: the two estimators of this section need not agree on it, and letting a criterion decide the count once the downstream models exist would reopen every choice made conditional on it. Chapter 4 reports the grid, the criterion's values and where the estimators disagree.</w:t>
      </w:r>
    </w:p>
    <w:p>
      <w:pPr>
        <w:spacing w:after="160" w:line="320"/>
        <w:jc w:val="both"/>
      </w:pPr>
      <w:r>
        <w:t xml:space="preserve">Likelihood cannot select the penalty, always preferring </w:t>
      </w:r>
      <w:r>
        <w:rPr>
          <w:i/>
          <w:iCs/>
        </w:rPr>
        <w:t xml:space="preserve">λ</w:t>
      </w:r>
      <w:r>
        <w:t xml:space="preserve"> → 0 and so returning the pathology it exists to remove. Selection applies a stated rule to a stated grid — the smallest </w:t>
      </w:r>
      <w:r>
        <w:rPr>
          <w:i/>
          <w:iCs/>
        </w:rPr>
        <w:t xml:space="preserve">λ</w:t>
      </w:r>
      <w:r>
        <w:t xml:space="preserve"> whose mean regime duration clears a persistence floor, on training rows only — with grid, floor and rule fixed before any downstream result existed, so the penalty cannot be tuned to the answer; a finer sweep is published so the grid's influence is visible.</w:t>
      </w:r>
    </w:p>
    <w:p>
      <w:pPr>
        <w:pStyle w:val="Heading2"/>
        <w:spacing w:after="180" w:before="320"/>
      </w:pPr>
      <w:r>
        <w:rPr>
          <w:rFonts w:ascii="Calibri" w:cs="Calibri" w:eastAsia="Calibri" w:hAnsi="Calibri"/>
          <w:b/>
          <w:bCs/>
          <w:color w:val="111111"/>
          <w:sz w:val="26"/>
          <w:szCs w:val="26"/>
        </w:rPr>
        <w:t xml:space="preserve">3.4  Model Specification</w:t>
      </w:r>
    </w:p>
    <w:p>
      <w:pPr>
        <w:spacing w:after="160" w:line="320"/>
        <w:jc w:val="both"/>
      </w:pPr>
      <w:r>
        <w:t>What varies across the models of Table 3.1 is the information each may use and the form each may take, one at a time. Three econometric baselines each close off a competing explanation, alongside a reference floor; Table 3.3 states what each rules out.</w:t>
      </w:r>
    </w:p>
    <w:p>
      <w:pPr>
        <w:pStyle w:val="Caption"/>
      </w:pPr>
      <w:r>
        <w:t>Table 3.3  The baseline set and what each is there to rule out. The conditional-variance models take open-to-close returns, matching the session-only realised measure; a close-to-close return embeds the overnight gap, which the ratio loss of Section 3.7 would read as forecast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0"/>
        <w:gridCol w:w="1500"/>
        <w:gridCol w:w="4406"/>
        <w:gridCol w:w="1500"/>
      </w:tblGrid>
      <w:tr>
        <w:trPr>
          <w:cantSplit/>
          <w:tblHeader/>
        </w:trPr>
        <w:tc>
          <w:tcPr>
            <w:tcW w:type="dxa" w:w="162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Model</w:t>
            </w:r>
          </w:p>
        </w:tc>
        <w:tc>
          <w:tcPr>
            <w:tcW w:type="dxa" w:w="1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Source</w:t>
            </w:r>
          </w:p>
        </w:tc>
        <w:tc>
          <w:tcPr>
            <w:tcW w:type="dxa" w:w="440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What it rules out</w:t>
            </w:r>
          </w:p>
        </w:tc>
        <w:tc>
          <w:tcPr>
            <w:tcW w:type="dxa" w:w="1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Role</w:t>
            </w:r>
          </w:p>
        </w:tc>
      </w:tr>
      <w:tr>
        <w:trPr>
          <w:cantSplit/>
          <w:tblHeader w:val="false"/>
        </w:trPr>
        <w:tc>
          <w:tcPr>
            <w:tcW w:type="dxa" w:w="16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GARCH(1,1)</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Bollerslev (1986)</w:t>
            </w:r>
          </w:p>
        </w:tc>
        <w:tc>
          <w:tcPr>
            <w:tcW w:type="dxa" w:w="44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That a return-driven variance recursion already suffices</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Baseline</w:t>
            </w:r>
          </w:p>
        </w:tc>
      </w:tr>
      <w:tr>
        <w:trPr>
          <w:cantSplit/>
          <w:tblHeader w:val="false"/>
        </w:trPr>
        <w:tc>
          <w:tcPr>
            <w:tcW w:type="dxa" w:w="16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EGARCH(1,1,1)</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Nelson (1991)</w:t>
            </w:r>
          </w:p>
        </w:tc>
        <w:tc>
          <w:tcPr>
            <w:tcW w:type="dxa" w:w="44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That the gain is the leverage asymmetry the symmetric model omits</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Baseline</w:t>
            </w:r>
          </w:p>
        </w:tc>
      </w:tr>
      <w:tr>
        <w:trPr>
          <w:cantSplit/>
          <w:tblHeader w:val="false"/>
        </w:trPr>
        <w:tc>
          <w:tcPr>
            <w:tcW w:type="dxa" w:w="16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HAR-RV</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Corsi (2009)</w:t>
            </w:r>
          </w:p>
        </w:tc>
        <w:tc>
          <w:tcPr>
            <w:tcW w:type="dxa" w:w="44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That linear long memory is all the problem needs — the benchmark to beat</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Baseline</w:t>
            </w:r>
          </w:p>
        </w:tc>
      </w:tr>
      <w:tr>
        <w:trPr>
          <w:cantSplit/>
          <w:tblHeader w:val="false"/>
        </w:trPr>
        <w:tc>
          <w:tcPr>
            <w:tcW w:type="dxa" w:w="162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Random walk in variance</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w:t>
            </w:r>
          </w:p>
        </w:tc>
        <w:tc>
          <w:tcPr>
            <w:tcW w:type="dxa" w:w="44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Nothing: it measures persistence alone</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Reference floor</w:t>
            </w:r>
          </w:p>
        </w:tc>
      </w:tr>
    </w:tbl>
    <w:p>
      <w:pPr>
        <w:spacing w:after="160" w:line="320"/>
        <w:jc w:val="both"/>
      </w:pPr>
      <w:r>
        <w:t xml:space="preserve">The deep architecture is a long short-term memory network (Hochreiter and Schmidhuber, 1997), retained for the reasons given in Chapter 2: gated recurrence imposes a strong temporal inductive bias suited to the modest effective sample sizes of daily financial data. Attention — the Transformer (Vaswani et al., 2017) and the Temporal Fusion Transformer (Lim et al., 2021) — was rejected on evidence rather than conservatism: it is data-hungry, precisely where a strong inductive bias is most valuable (Lim and Zohren, 2021), and recent benchmarks find simple recurrent models matching elaborate transformers (Zeng et al., 2023). The claim is not that attention cannot work here, but that at this sample size it is the weaker prior. Each network passes a window of the previous </w:t>
      </w:r>
      <w:r>
        <w:rPr>
          <w:i/>
          <w:iCs/>
        </w:rPr>
        <w:t xml:space="preserve">L</w:t>
      </w:r>
      <w:r>
        <w:t xml:space="preserve"> trading days through one recurrent layer to a linear output, estimated by mean squared error on standardised log realised variance.</w:t>
      </w:r>
    </w:p>
    <w:p>
      <w:pPr>
        <w:spacing w:after="160" w:line="320"/>
        <w:jc w:val="both"/>
      </w:pPr>
      <w:r>
        <w:t>Two ablations vary that information set while holding the architecture fixed, because a win over HAR-RV would otherwise be unattributable. The first restricts the input to realised-volatility history alone, HAR-RV's own information source: whatever advantage survives is the architecture rather than the extra return. The match is on the source, not its construction — the network receives raw daily lags across its lookback window, HAR-RV daily, weekly and monthly aggregates reaching twenty-two days — so unless the selected window is at least that long the network works from less history, which makes it the more conservative control; Chapter 4 reports the window. The second adds an implied-volatility index, the auxiliary series of Table 3.2, reported apart from the like-for-like comparison rather than entered into it: option-implied information is available to no other model here, so including it would compare unequal information sets and price the feature as though it were the method.</w:t>
      </w:r>
    </w:p>
    <w:p>
      <w:pPr>
        <w:spacing w:after="160" w:line="320"/>
        <w:jc w:val="both"/>
      </w:pPr>
      <w:r>
        <w:t>Two architectures condition that network on the regime signal, differing in where it enters. Regime as feature appends the lagged posterior to the input vector. A mixture of experts (Jacobs et al., 1991) carries one network per state and recombines their forecasts by the posterior acting as a soft gate:</w:t>
      </w:r>
    </w:p>
    <w:p>
      <w:pPr>
        <w:tabs>
          <w:tab w:val="center" w:pos="4513"/>
          <w:tab w:val="right" w:pos="9026"/>
        </w:tabs>
        <w:spacing w:after="220" w:before="220" w:line="320"/>
      </w:pPr>
      <w:r>
        <w:t xml:space="preserve">	</w:t>
      </w:r>
      <w:r>
        <w:rPr>
          <w:rFonts w:ascii="Cambria Math" w:cs="Cambria Math" w:eastAsia="Cambria Math" w:hAnsi="Cambria Math"/>
          <w:i/>
          <w:iCs/>
          <w:color w:val="111111"/>
          <w:sz w:val="24"/>
          <w:szCs w:val="24"/>
        </w:rPr>
        <w:t>μ̂</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w:t>
      </w:r>
      <w:r>
        <w:rPr>
          <w:rFonts w:ascii="Cambria Math" w:cs="Cambria Math" w:eastAsia="Cambria Math" w:hAnsi="Cambria Math"/>
          <w:color w:val="111111"/>
          <w:sz w:val="24"/>
          <w:szCs w:val="24"/>
        </w:rPr>
        <w:t xml:space="preserve">Σ</w:t>
      </w:r>
      <w:r>
        <w:rPr>
          <w:rFonts w:ascii="Cambria Math" w:cs="Cambria Math" w:eastAsia="Cambria Math" w:hAnsi="Cambria Math"/>
          <w:color w:val="111111"/>
          <w:sz w:val="20"/>
          <w:szCs w:val="20"/>
          <w:vertAlign w:val="subscript"/>
        </w:rPr>
        <w:t xml:space="preserve">k=1</w:t>
      </w:r>
      <w:r>
        <w:rPr>
          <w:rFonts w:ascii="Cambria Math" w:cs="Cambria Math" w:eastAsia="Cambria Math" w:hAnsi="Cambria Math"/>
          <w:i/>
          <w:iCs/>
          <w:color w:val="111111"/>
          <w:sz w:val="20"/>
          <w:szCs w:val="20"/>
          <w:vertAlign w:val="superscript"/>
        </w:rPr>
        <w:t xml:space="preserve">K</w:t>
      </w:r>
      <w:r>
        <w:rPr>
          <w:rFonts w:ascii="Cambria Math" w:cs="Cambria Math" w:eastAsia="Cambria Math" w:hAnsi="Cambria Math"/>
          <w:color w:val="111111"/>
          <w:sz w:val="24"/>
          <w:szCs w:val="24"/>
        </w:rPr>
        <w:t xml:space="preserve"> </w:t>
      </w:r>
      <w:r>
        <w:rPr>
          <w:rFonts w:ascii="Cambria Math" w:cs="Cambria Math" w:eastAsia="Cambria Math" w:hAnsi="Cambria Math"/>
          <w:i/>
          <w:iCs/>
          <w:color w:val="111111"/>
          <w:sz w:val="24"/>
          <w:szCs w:val="24"/>
        </w:rPr>
        <w:t xml:space="preserve">g</w:t>
      </w:r>
      <w:r>
        <w:rPr>
          <w:rFonts w:ascii="Cambria Math" w:cs="Cambria Math" w:eastAsia="Cambria Math" w:hAnsi="Cambria Math"/>
          <w:i/>
          <w:iCs/>
          <w:color w:val="111111"/>
          <w:sz w:val="24"/>
          <w:szCs w:val="24"/>
          <w:vertAlign w:val="subscript"/>
        </w:rPr>
        <w:t xml:space="preserve">k,t</w:t>
      </w:r>
      <w:r>
        <w:rPr>
          <w:rFonts w:ascii="Cambria Math" w:cs="Cambria Math" w:eastAsia="Cambria Math" w:hAnsi="Cambria Math"/>
          <w:color w:val="111111"/>
          <w:sz w:val="24"/>
          <w:szCs w:val="24"/>
        </w:rPr>
        <w:t xml:space="preserve"> </w:t>
      </w:r>
      <w:r>
        <w:rPr>
          <w:rFonts w:ascii="Cambria Math" w:cs="Cambria Math" w:eastAsia="Cambria Math" w:hAnsi="Cambria Math"/>
          <w:i/>
          <w:iCs/>
          <w:color w:val="111111"/>
          <w:sz w:val="24"/>
          <w:szCs w:val="24"/>
        </w:rPr>
        <w:t xml:space="preserve">f</w:t>
      </w:r>
      <w:r>
        <w:rPr>
          <w:rFonts w:ascii="Cambria Math" w:cs="Cambria Math" w:eastAsia="Cambria Math" w:hAnsi="Cambria Math"/>
          <w:i/>
          <w:iCs/>
          <w:color w:val="111111"/>
          <w:sz w:val="24"/>
          <w:szCs w:val="24"/>
          <w:vertAlign w:val="subscript"/>
        </w:rPr>
        <w:t xml:space="preserve">k</w:t>
      </w:r>
      <w:r>
        <w:rPr>
          <w:rFonts w:ascii="Cambria Math" w:cs="Cambria Math" w:eastAsia="Cambria Math" w:hAnsi="Cambria Math"/>
          <w:color w:val="111111"/>
          <w:sz w:val="24"/>
          <w:szCs w:val="24"/>
        </w:rPr>
        <w:t xml:space="preserve">(</w:t>
      </w:r>
      <w:r>
        <w:rPr>
          <w:rFonts w:ascii="Cambria Math" w:cs="Cambria Math" w:eastAsia="Cambria Math" w:hAnsi="Cambria Math"/>
          <w:i/>
          <w:iCs/>
          <w:color w:val="111111"/>
          <w:sz w:val="24"/>
          <w:szCs w:val="24"/>
        </w:rPr>
        <w:t xml:space="preserve">x</w:t>
      </w:r>
      <w:r>
        <w:rPr>
          <w:rFonts w:ascii="Cambria Math" w:cs="Cambria Math" w:eastAsia="Cambria Math" w:hAnsi="Cambria Math"/>
          <w:i/>
          <w:iCs/>
          <w:color w:val="111111"/>
          <w:sz w:val="24"/>
          <w:szCs w:val="24"/>
          <w:vertAlign w:val="subscript"/>
        </w:rPr>
        <w:t xml:space="preserve">t−L:t−1</w:t>
      </w:r>
      <w:r>
        <w:rPr>
          <w:rFonts w:ascii="Cambria Math" w:cs="Cambria Math" w:eastAsia="Cambria Math" w:hAnsi="Cambria Math"/>
          <w:color w:val="111111"/>
          <w:sz w:val="24"/>
          <w:szCs w:val="24"/>
        </w:rPr>
        <w:t xml:space="preserve">)</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 xml:space="preserve">g</w:t>
      </w:r>
      <w:r>
        <w:rPr>
          <w:rFonts w:ascii="Cambria Math" w:cs="Cambria Math" w:eastAsia="Cambria Math" w:hAnsi="Cambria Math"/>
          <w:i/>
          <w:iCs/>
          <w:color w:val="111111"/>
          <w:sz w:val="24"/>
          <w:szCs w:val="24"/>
          <w:vertAlign w:val="subscript"/>
        </w:rPr>
        <w:t xml:space="preserve">k,t</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ξ</w:t>
      </w:r>
      <w:r>
        <w:rPr>
          <w:rFonts w:ascii="Cambria Math" w:cs="Cambria Math" w:eastAsia="Cambria Math" w:hAnsi="Cambria Math"/>
          <w:color w:val="111111"/>
          <w:sz w:val="24"/>
          <w:szCs w:val="24"/>
        </w:rPr>
      </w:r>
      <w:r>
        <w:rPr>
          <w:rFonts w:ascii="Cambria Math" w:cs="Cambria Math" w:eastAsia="Cambria Math" w:hAnsi="Cambria Math"/>
          <w:i/>
          <w:iCs/>
          <w:color w:val="111111"/>
          <w:sz w:val="24"/>
          <w:szCs w:val="24"/>
        </w:rPr>
      </w:r>
      <w:r>
        <w:rPr>
          <w:rFonts w:ascii="Cambria Math" w:cs="Cambria Math" w:eastAsia="Cambria Math" w:hAnsi="Cambria Math"/>
          <w:i/>
          <w:iCs/>
          <w:color w:val="111111"/>
          <w:sz w:val="24"/>
          <w:szCs w:val="24"/>
          <w:vertAlign w:val="subscript"/>
        </w:rPr>
        <w:t>k,t−1</w:t>
      </w:r>
      <w:r>
        <w:rPr>
          <w:rFonts w:ascii="Cambria Math" w:cs="Cambria Math" w:eastAsia="Cambria Math" w:hAnsi="Cambria Math"/>
          <w:color w:val="111111"/>
          <w:sz w:val="24"/>
          <w:szCs w:val="24"/>
        </w:rPr>
      </w:r>
      <w:r>
        <w:rPr>
          <w:rFonts w:ascii="Cambria Math" w:cs="Cambria Math" w:eastAsia="Cambria Math" w:hAnsi="Cambria Math"/>
          <w:i/>
          <w:iCs/>
          <w:color w:val="111111"/>
          <w:sz w:val="24"/>
          <w:szCs w:val="24"/>
        </w:rPr>
      </w:r>
      <w:r>
        <w:rPr>
          <w:rFonts w:ascii="Cambria Math" w:cs="Cambria Math" w:eastAsia="Cambria Math" w:hAnsi="Cambria Math"/>
          <w:color w:val="111111"/>
          <w:sz w:val="24"/>
          <w:szCs w:val="24"/>
        </w:rPr>
      </w:r>
      <w:r>
        <w:rPr>
          <w:rFonts w:ascii="Cambria Math" w:cs="Cambria Math" w:eastAsia="Cambria Math" w:hAnsi="Cambria Math"/>
          <w:i/>
          <w:iCs/>
          <w:color w:val="111111"/>
          <w:sz w:val="24"/>
          <w:szCs w:val="24"/>
        </w:rPr>
      </w:r>
      <w:r>
        <w:rPr>
          <w:rFonts w:ascii="Cambria Math" w:cs="Cambria Math" w:eastAsia="Cambria Math" w:hAnsi="Cambria Math"/>
          <w:i/>
          <w:iCs/>
          <w:color w:val="111111"/>
          <w:sz w:val="24"/>
          <w:szCs w:val="24"/>
          <w:vertAlign w:val="subscript"/>
        </w:rPr>
      </w:r>
      <w:r>
        <w:rPr>
          <w:rFonts w:ascii="Cambria Math" w:cs="Cambria Math" w:eastAsia="Cambria Math" w:hAnsi="Cambria Math"/>
          <w:color w:val="111111"/>
          <w:sz w:val="24"/>
          <w:szCs w:val="24"/>
        </w:rPr>
      </w:r>
      <w:r>
        <w:rPr>
          <w:rFonts w:ascii="Cambria Math" w:cs="Cambria Math" w:eastAsia="Cambria Math" w:hAnsi="Cambria Math"/>
          <w:i/>
          <w:iCs/>
          <w:color w:val="111111"/>
          <w:sz w:val="24"/>
          <w:szCs w:val="24"/>
        </w:rPr>
      </w:r>
      <w:r>
        <w:rPr>
          <w:rFonts w:ascii="Cambria Math" w:cs="Cambria Math" w:eastAsia="Cambria Math" w:hAnsi="Cambria Math"/>
          <w:i/>
          <w:iCs/>
          <w:color w:val="111111"/>
          <w:sz w:val="24"/>
          <w:szCs w:val="24"/>
          <w:vertAlign w:val="subscript"/>
        </w:rPr>
      </w:r>
      <w:r>
        <w:rPr>
          <w:rFonts w:ascii="Cambria Math" w:cs="Cambria Math" w:eastAsia="Cambria Math" w:hAnsi="Cambria Math"/>
          <w:color w:val="111111"/>
          <w:sz w:val="24"/>
          <w:szCs w:val="24"/>
        </w:rPr>
      </w:r>
      <w:r>
        <w:t xml:space="preserve">	(3.3)</w:t>
      </w:r>
    </w:p>
    <w:p>
      <w:pPr>
        <w:spacing w:after="160" w:line="320"/>
        <w:jc w:val="both"/>
      </w:pPr>
      <w:r>
        <w:t xml:space="preserve">where </w:t>
      </w:r>
      <w:r>
        <w:rPr>
          <w:i/>
          <w:iCs/>
        </w:rPr>
        <w:t xml:space="preserve">f</w:t>
      </w:r>
      <w:r>
        <w:rPr>
          <w:i/>
          <w:iCs/>
          <w:sz w:val="19"/>
          <w:szCs w:val="19"/>
          <w:vertAlign w:val="subscript"/>
        </w:rPr>
        <w:t xml:space="preserve">k</w:t>
      </w:r>
      <w:r>
        <w:t xml:space="preserve"> is the </w:t>
      </w:r>
      <w:r>
        <w:rPr>
          <w:i/>
          <w:iCs/>
        </w:rPr>
        <w:t xml:space="preserve">k</w:t>
      </w:r>
      <w:r>
        <w:t xml:space="preserve">-th expert, </w:t>
      </w:r>
      <w:r>
        <w:rPr>
          <w:i/>
          <w:iCs/>
        </w:rPr>
        <w:t xml:space="preserve">x</w:t>
      </w:r>
      <w:r>
        <w:t xml:space="preserve"> the network's input window of </w:t>
      </w:r>
      <w:r>
        <w:rPr>
          <w:i/>
          <w:iCs/>
        </w:rPr>
        <w:t xml:space="preserve">L</w:t>
      </w:r>
      <w:r>
        <w:t xml:space="preserve"> days ending at </w:t>
      </w:r>
      <w:r>
        <w:rPr>
          <w:i/>
          <w:iCs/>
        </w:rPr>
        <w:t xml:space="preserve">t</w:t>
      </w:r>
      <w:r>
        <w:t xml:space="preserve">−1, </w:t>
      </w:r>
      <w:r>
        <w:rPr>
          <w:i/>
          <w:iCs/>
        </w:rPr>
        <w:t xml:space="preserve">μ̂</w:t>
      </w:r>
      <w:r>
        <w:rPr>
          <w:i/>
          <w:iCs/>
          <w:sz w:val="19"/>
          <w:szCs w:val="19"/>
          <w:vertAlign w:val="subscript"/>
        </w:rPr>
        <w:t xml:space="preserve">t</w:t>
      </w:r>
      <w:r>
        <w:t xml:space="preserve"> the fitted conditional mean of log realised variance the mixture returns, and </w:t>
      </w:r>
      <w:r>
        <w:rPr>
          <w:i/>
          <w:iCs/>
        </w:rPr>
        <w:t xml:space="preserve">g</w:t>
      </w:r>
      <w:r>
        <w:rPr>
          <w:i/>
          <w:iCs/>
          <w:sz w:val="19"/>
          <w:szCs w:val="19"/>
          <w:vertAlign w:val="subscript"/>
        </w:rPr>
        <w:t xml:space="preserve">k,t</w:t>
      </w:r>
      <w:r>
        <w:t xml:space="preserve"> the gate weight on expert </w:t>
      </w:r>
      <w:r>
        <w:rPr>
          <w:i/>
          <w:iCs/>
        </w:rPr>
        <w:t xml:space="preserve">k</w:t>
      </w:r>
      <w:r>
        <w:t xml:space="preserve"> for day </w:t>
      </w:r>
      <w:r>
        <w:rPr>
          <w:i/>
          <w:iCs/>
        </w:rPr>
        <w:t xml:space="preserve">t</w:t>
      </w:r>
      <w:r>
        <w:t xml:space="preserve">, taken as the k-th element of the filtered posterior of Section 3.3 at </w:t>
      </w:r>
      <w:r>
        <w:rPr>
          <w:i/>
          <w:iCs/>
        </w:rPr>
        <w:t xml:space="preserve">t</w:t>
      </w:r>
      <w:r>
        <w:t xml:space="preserve">−1, which makes the mixture causal. Crucially the signal enters only through the gate, so the experts see exactly what the unconditional network sees: the first architecture varies the information and fixes the form, the second the reverse.</w:t>
      </w:r>
    </w:p>
    <w:p>
      <w:pPr>
        <w:spacing w:after="160" w:line="320" w:lineRule="auto"/>
        <w:jc w:val="both"/>
      </w:pPr>
      <w:r>
        <w:t xml:space="preserve">The gate also enters training, as a weight rather than a partition: every expert sees every window, weighted by its own gate, so expert </w:t>
      </w:r>
      <w:r>
        <w:rPr>
          <w:i/>
        </w:rPr>
        <w:t>k</w:t>
      </w:r>
      <w:r>
        <w:t xml:space="preserve"> minimises</w:t>
      </w:r>
    </w:p>
    <w:p>
      <w:pPr>
        <w:tabs>
          <w:tab w:pos="4513" w:val="center"/>
          <w:tab w:pos="9026" w:val="right"/>
        </w:tabs>
        <w:spacing w:after="220" w:line="320" w:lineRule="auto"/>
      </w:pPr>
      <w:r>
        <w:tab/>
      </w:r>
      <w:r>
        <w:rPr>
          <w:rFonts w:ascii="Cambria Math" w:hAnsi="Cambria Math"/>
          <w:i/>
          <w:color w:val="111111"/>
          <w:sz w:val="24"/>
        </w:rPr>
        <w:t>J</w:t>
      </w:r>
      <w:r>
        <w:rPr>
          <w:rFonts w:ascii="Cambria Math" w:hAnsi="Cambria Math"/>
          <w:i/>
          <w:color w:val="111111"/>
          <w:sz w:val="24"/>
          <w:vertAlign w:val="subscript"/>
        </w:rPr>
        <w:t>k</w:t>
      </w:r>
      <w:r>
        <w:rPr>
          <w:rFonts w:ascii="Cambria Math" w:hAnsi="Cambria Math"/>
          <w:color w:val="111111"/>
          <w:sz w:val="24"/>
        </w:rPr>
        <w:t xml:space="preserve">  =  </w:t>
      </w:r>
      <w:r>
        <w:rPr>
          <w:rFonts w:ascii="Cambria Math" w:hAnsi="Cambria Math"/>
          <w:color w:val="111111"/>
          <w:sz w:val="24"/>
        </w:rPr>
        <w:t>Σ</w:t>
      </w:r>
      <w:r>
        <w:rPr>
          <w:rFonts w:ascii="Cambria Math" w:hAnsi="Cambria Math"/>
          <w:i w:val="0"/>
          <w:color w:val="111111"/>
          <w:sz w:val="20"/>
          <w:vertAlign w:val="subscript"/>
        </w:rPr>
        <w:t>t</w:t>
      </w:r>
      <w:r>
        <w:rPr>
          <w:rFonts w:ascii="Cambria Math" w:hAnsi="Cambria Math"/>
          <w:color w:val="111111"/>
          <w:sz w:val="24"/>
        </w:rPr>
        <w:t xml:space="preserve"> </w:t>
      </w:r>
      <w:r>
        <w:rPr>
          <w:rFonts w:ascii="Cambria Math" w:hAnsi="Cambria Math"/>
          <w:i/>
          <w:color w:val="111111"/>
          <w:sz w:val="24"/>
        </w:rPr>
        <w:t>w</w:t>
      </w:r>
      <w:r>
        <w:rPr>
          <w:rFonts w:ascii="Cambria Math" w:hAnsi="Cambria Math"/>
          <w:i/>
          <w:color w:val="111111"/>
          <w:sz w:val="24"/>
          <w:vertAlign w:val="subscript"/>
        </w:rPr>
        <w:t>k,t</w:t>
      </w:r>
      <w:r>
        <w:rPr>
          <w:rFonts w:ascii="Cambria Math" w:hAnsi="Cambria Math"/>
          <w:color w:val="111111"/>
          <w:sz w:val="24"/>
        </w:rPr>
        <w:t xml:space="preserve"> ( </w:t>
      </w:r>
      <w:r>
        <w:rPr>
          <w:rFonts w:ascii="Cambria Math" w:hAnsi="Cambria Math"/>
          <w:i/>
          <w:color w:val="111111"/>
          <w:sz w:val="24"/>
        </w:rPr>
        <w:t>y</w:t>
      </w:r>
      <w:r>
        <w:rPr>
          <w:rFonts w:ascii="Cambria Math" w:hAnsi="Cambria Math"/>
          <w:i/>
          <w:color w:val="111111"/>
          <w:sz w:val="24"/>
          <w:vertAlign w:val="subscript"/>
        </w:rPr>
        <w:t>t</w:t>
      </w:r>
      <w:r>
        <w:rPr>
          <w:rFonts w:ascii="Cambria Math" w:hAnsi="Cambria Math"/>
          <w:color w:val="111111"/>
          <w:sz w:val="24"/>
        </w:rPr>
        <w:t xml:space="preserve"> − </w:t>
      </w:r>
      <w:r>
        <w:rPr>
          <w:rFonts w:ascii="Cambria Math" w:hAnsi="Cambria Math"/>
          <w:i/>
          <w:color w:val="111111"/>
          <w:sz w:val="24"/>
        </w:rPr>
        <w:t>f</w:t>
      </w:r>
      <w:r>
        <w:rPr>
          <w:rFonts w:ascii="Cambria Math" w:hAnsi="Cambria Math"/>
          <w:i/>
          <w:color w:val="111111"/>
          <w:sz w:val="24"/>
          <w:vertAlign w:val="subscript"/>
        </w:rPr>
        <w:t>k</w:t>
      </w:r>
      <w:r>
        <w:rPr>
          <w:rFonts w:ascii="Cambria Math" w:hAnsi="Cambria Math"/>
          <w:color w:val="111111"/>
          <w:sz w:val="24"/>
        </w:rPr>
        <w:t>(</w:t>
      </w:r>
      <w:r>
        <w:rPr>
          <w:rFonts w:ascii="Cambria Math" w:hAnsi="Cambria Math"/>
          <w:i/>
          <w:color w:val="111111"/>
          <w:sz w:val="24"/>
        </w:rPr>
        <w:t>x</w:t>
      </w:r>
      <w:r>
        <w:rPr>
          <w:rFonts w:ascii="Cambria Math" w:hAnsi="Cambria Math"/>
          <w:i/>
          <w:color w:val="111111"/>
          <w:sz w:val="24"/>
          <w:vertAlign w:val="subscript"/>
        </w:rPr>
        <w:t>t−L:t−1</w:t>
      </w:r>
      <w:r>
        <w:rPr>
          <w:rFonts w:ascii="Cambria Math" w:hAnsi="Cambria Math"/>
          <w:color w:val="111111"/>
          <w:sz w:val="24"/>
        </w:rPr>
        <w:t>)</w:t>
      </w:r>
      <w:r>
        <w:rPr>
          <w:rFonts w:ascii="Cambria Math" w:hAnsi="Cambria Math"/>
          <w:color w:val="111111"/>
          <w:sz w:val="24"/>
        </w:rPr>
        <w:t xml:space="preserve"> )</w:t>
      </w:r>
      <w:r>
        <w:rPr>
          <w:rFonts w:ascii="Cambria Math" w:hAnsi="Cambria Math"/>
          <w:color w:val="111111"/>
          <w:sz w:val="20"/>
          <w:vertAlign w:val="superscript"/>
        </w:rPr>
        <w:t>2</w:t>
      </w:r>
      <w:r>
        <w:rPr>
          <w:rFonts w:ascii="Cambria Math" w:hAnsi="Cambria Math"/>
          <w:color w:val="111111"/>
          <w:sz w:val="24"/>
        </w:rPr>
        <w:t xml:space="preserve"> ,        </w:t>
      </w:r>
      <w:r>
        <w:rPr>
          <w:rFonts w:ascii="Cambria Math" w:hAnsi="Cambria Math"/>
          <w:i/>
          <w:color w:val="111111"/>
          <w:sz w:val="24"/>
        </w:rPr>
        <w:t>w</w:t>
      </w:r>
      <w:r>
        <w:rPr>
          <w:rFonts w:ascii="Cambria Math" w:hAnsi="Cambria Math"/>
          <w:i/>
          <w:color w:val="111111"/>
          <w:sz w:val="24"/>
          <w:vertAlign w:val="subscript"/>
        </w:rPr>
        <w:t>k,t</w:t>
      </w:r>
      <w:r>
        <w:rPr>
          <w:rFonts w:ascii="Cambria Math" w:hAnsi="Cambria Math"/>
          <w:color w:val="111111"/>
          <w:sz w:val="24"/>
        </w:rPr>
        <w:t xml:space="preserve">  =  </w:t>
      </w:r>
      <w:r>
        <w:rPr>
          <w:rFonts w:ascii="Cambria Math" w:hAnsi="Cambria Math"/>
          <w:i/>
          <w:color w:val="111111"/>
          <w:sz w:val="24"/>
        </w:rPr>
        <w:t>g</w:t>
      </w:r>
      <w:r>
        <w:rPr>
          <w:rFonts w:ascii="Cambria Math" w:hAnsi="Cambria Math"/>
          <w:i/>
          <w:color w:val="111111"/>
          <w:sz w:val="24"/>
          <w:vertAlign w:val="subscript"/>
        </w:rPr>
        <w:t>k,t</w:t>
      </w:r>
      <w:r>
        <w:rPr>
          <w:rFonts w:ascii="Cambria Math" w:hAnsi="Cambria Math"/>
          <w:color w:val="111111"/>
          <w:sz w:val="24"/>
        </w:rPr>
        <w:t xml:space="preserve"> / </w:t>
      </w:r>
      <w:r>
        <w:rPr>
          <w:rFonts w:ascii="Cambria Math" w:hAnsi="Cambria Math"/>
          <w:color w:val="111111"/>
          <w:sz w:val="24"/>
        </w:rPr>
        <w:t>Σ</w:t>
      </w:r>
      <w:r>
        <w:rPr>
          <w:rFonts w:ascii="Cambria Math" w:hAnsi="Cambria Math"/>
          <w:i w:val="0"/>
          <w:color w:val="111111"/>
          <w:sz w:val="20"/>
          <w:vertAlign w:val="subscript"/>
        </w:rPr>
        <w:t>t′</w:t>
      </w:r>
      <w:r>
        <w:rPr>
          <w:rFonts w:ascii="Cambria Math" w:hAnsi="Cambria Math"/>
          <w:color w:val="111111"/>
          <w:sz w:val="24"/>
        </w:rPr>
        <w:t xml:space="preserve"> </w:t>
      </w:r>
      <w:r>
        <w:rPr>
          <w:rFonts w:ascii="Cambria Math" w:hAnsi="Cambria Math"/>
          <w:i/>
          <w:color w:val="111111"/>
          <w:sz w:val="24"/>
        </w:rPr>
        <w:t>g</w:t>
      </w:r>
      <w:r>
        <w:rPr>
          <w:rFonts w:ascii="Cambria Math" w:hAnsi="Cambria Math"/>
          <w:i/>
          <w:color w:val="111111"/>
          <w:sz w:val="24"/>
          <w:vertAlign w:val="subscript"/>
        </w:rPr>
        <w:t>k,t′</w:t>
      </w:r>
      <w:r>
        <w:tab/>
        <w:t>(3.3b)</w:t>
      </w:r>
    </w:p>
    <w:p>
      <w:pPr>
        <w:spacing w:after="160" w:line="320" w:lineRule="auto"/>
        <w:jc w:val="both"/>
      </w:pPr>
      <w:r>
        <w:t xml:space="preserve">where </w:t>
      </w:r>
      <w:r>
        <w:rPr>
          <w:i/>
        </w:rPr>
        <w:t>J</w:t>
      </w:r>
      <w:r>
        <w:rPr>
          <w:i/>
          <w:sz w:val="19"/>
          <w:vertAlign w:val="subscript"/>
        </w:rPr>
        <w:t>k</w:t>
      </w:r>
      <w:r>
        <w:t xml:space="preserve"> is expert </w:t>
      </w:r>
      <w:r>
        <w:rPr>
          <w:i/>
        </w:rPr>
        <w:t>k</w:t>
      </w:r>
      <w:r>
        <w:t xml:space="preserve">'s training objective, </w:t>
      </w:r>
      <w:r>
        <w:rPr>
          <w:i/>
        </w:rPr>
        <w:t>y</w:t>
      </w:r>
      <w:r>
        <w:rPr>
          <w:i/>
          <w:sz w:val="19"/>
          <w:vertAlign w:val="subscript"/>
        </w:rPr>
        <w:t>t</w:t>
      </w:r>
      <w:r>
        <w:t xml:space="preserve"> the log realised variance of day </w:t>
      </w:r>
      <w:r>
        <w:rPr>
          <w:i/>
        </w:rPr>
        <w:t>t</w:t>
      </w:r>
      <w:r>
        <w:t xml:space="preserve"> on the standardised scale the networks are fitted on, </w:t>
      </w:r>
      <w:r>
        <w:rPr>
          <w:i/>
        </w:rPr>
        <w:t>w</w:t>
      </w:r>
      <w:r>
        <w:rPr>
          <w:i/>
          <w:sz w:val="19"/>
          <w:vertAlign w:val="subscript"/>
        </w:rPr>
        <w:t>k,t</w:t>
      </w:r>
      <w:r>
        <w:t xml:space="preserve"> the gate weight of Equation 3.3 renormalised over the training windows, and </w:t>
      </w:r>
      <w:r>
        <w:rPr>
          <w:i/>
        </w:rPr>
        <w:t>t′</w:t>
      </w:r>
      <w:r>
        <w:t xml:space="preserve"> indexes those windows. Each day therefore contributes to every expert in proportion to how strongly its state was believed active at </w:t>
      </w:r>
      <w:r>
        <w:rPr>
          <w:i/>
        </w:rPr>
        <w:t>t</w:t>
      </w:r>
      <w:r>
        <w:t>−1, so the expert for the crisis state is not confined to crisis days but weights them most heavily; and Equation 3.4 below takes its residual variance from the mixture rather than from any single expert.</w:t>
      </w:r>
    </w:p>
    <w:p>
      <w:pPr>
        <w:spacing w:after="160" w:line="320"/>
        <w:jc w:val="both"/>
      </w:pPr>
      <w:r>
        <w:t xml:space="preserve">Every model estimated in logs needs one further step, exponentiating a fitted conditional mean returning a median while the losses of Section 3.7 are defined for a mean:</w:t>
      </w:r>
    </w:p>
    <w:p>
      <w:pPr>
        <w:tabs>
          <w:tab w:val="center" w:pos="4513"/>
          <w:tab w:val="right" w:pos="9026"/>
        </w:tabs>
        <w:spacing w:after="220" w:before="220" w:line="320"/>
      </w:pPr>
      <w:r>
        <w:t xml:space="preserve">	</w:t>
      </w:r>
      <w:r>
        <w:rPr>
          <w:rFonts w:ascii="Cambria Math" w:cs="Cambria Math" w:eastAsia="Cambria Math" w:hAnsi="Cambria Math"/>
          <w:i/>
          <w:iCs/>
          <w:color w:val="111111"/>
          <w:sz w:val="24"/>
          <w:szCs w:val="24"/>
        </w:rPr>
        <w:t>ĥ</w:t>
      </w:r>
      <w:r>
        <w:rPr>
          <w:rFonts w:ascii="Cambria Math" w:cs="Cambria Math" w:eastAsia="Cambria Math" w:hAnsi="Cambria Math"/>
          <w:i/>
          <w:iCs/>
          <w:color w:val="111111"/>
          <w:sz w:val="24"/>
          <w:szCs w:val="24"/>
          <w:vertAlign w:val="subscript"/>
        </w:rPr>
        <w:t>t</w:t>
      </w:r>
      <w:r>
        <w:rPr>
          <w:rFonts w:ascii="Cambria Math" w:cs="Cambria Math" w:eastAsia="Cambria Math" w:hAnsi="Cambria Math"/>
          <w:color w:val="111111"/>
          <w:sz w:val="24"/>
          <w:szCs w:val="24"/>
        </w:rPr>
        <w:t xml:space="preserve">  =  exp(</w:t>
      </w:r>
      <w:r>
        <w:rPr>
          <w:rFonts w:ascii="Cambria Math" w:cs="Cambria Math" w:eastAsia="Cambria Math" w:hAnsi="Cambria Math"/>
          <w:i/>
          <w:iCs/>
          <w:color w:val="111111"/>
          <w:sz w:val="24"/>
          <w:szCs w:val="24"/>
        </w:rPr>
        <w:t xml:space="preserve">μ̂</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½ </w:t>
      </w:r>
      <w:r>
        <w:rPr>
          <w:rFonts w:ascii="Cambria Math" w:cs="Cambria Math" w:eastAsia="Cambria Math" w:hAnsi="Cambria Math"/>
          <w:i/>
          <w:iCs/>
          <w:color w:val="111111"/>
          <w:sz w:val="24"/>
          <w:szCs w:val="24"/>
        </w:rPr>
        <w:t xml:space="preserve">σ̂</w:t>
      </w:r>
      <w:r>
        <w:rPr>
          <w:rFonts w:ascii="Cambria Math" w:cs="Cambria Math" w:eastAsia="Cambria Math" w:hAnsi="Cambria Math"/>
          <w:color w:val="111111"/>
          <w:sz w:val="20"/>
          <w:szCs w:val="20"/>
          <w:vertAlign w:val="superscript"/>
        </w:rPr>
        <w:t xml:space="preserve">2</w:t>
      </w:r>
      <w:r>
        <w:rPr>
          <w:rFonts w:ascii="Cambria Math" w:cs="Cambria Math" w:eastAsia="Cambria Math" w:hAnsi="Cambria Math"/>
          <w:color w:val="111111"/>
          <w:sz w:val="24"/>
          <w:szCs w:val="24"/>
        </w:rPr>
        <w:t xml:space="preserve">)</w:t>
      </w:r>
      <w:r>
        <w:t xml:space="preserve">	(3.4)</w:t>
      </w:r>
    </w:p>
    <w:p>
      <w:pPr>
        <w:spacing w:after="160" w:line="320"/>
        <w:jc w:val="both"/>
      </w:pPr>
      <w:r>
        <w:t xml:space="preserve">where </w:t>
      </w:r>
      <w:r>
        <w:rPr>
          <w:i/>
          <w:iCs/>
        </w:rPr>
        <w:t>ĥ</w:t>
      </w:r>
      <w:r>
        <w:rPr>
          <w:i/>
          <w:iCs/>
          <w:sz w:val="19"/>
          <w:szCs w:val="19"/>
          <w:vertAlign w:val="subscript"/>
        </w:rPr>
        <w:t>t</w:t>
      </w:r>
      <w:r>
        <w:t xml:space="preserve"> is the variance forecast of </w:t>
      </w:r>
      <w:r>
        <w:rPr>
          <w:i/>
          <w:iCs/>
        </w:rPr>
        <w:t xml:space="preserve">RV</w:t>
      </w:r>
      <w:r>
        <w:rPr>
          <w:i/>
          <w:iCs/>
          <w:sz w:val="19"/>
          <w:szCs w:val="19"/>
          <w:vertAlign w:val="subscript"/>
        </w:rPr>
        <w:t xml:space="preserve">t</w:t>
      </w:r>
      <w:r>
        <w:t xml:space="preserve"> formed at </w:t>
      </w:r>
      <w:r>
        <w:rPr>
          <w:i/>
          <w:iCs/>
        </w:rPr>
        <w:t xml:space="preserve">t</w:t>
      </w:r>
      <w:r>
        <w:t xml:space="preserve">−1, </w:t>
      </w:r>
      <w:r>
        <w:rPr>
          <w:i/>
          <w:iCs/>
        </w:rPr>
        <w:t xml:space="preserve">μ̂</w:t>
      </w:r>
      <w:r>
        <w:rPr>
          <w:i/>
          <w:iCs/>
          <w:sz w:val="19"/>
          <w:szCs w:val="19"/>
          <w:vertAlign w:val="subscript"/>
        </w:rPr>
        <w:t xml:space="preserve">t</w:t>
      </w:r>
      <w:r>
        <w:t xml:space="preserve"> the fitted conditional mean of log realised variance, and </w:t>
      </w:r>
      <w:r>
        <w:rPr>
          <w:i/>
          <w:iCs/>
        </w:rPr>
        <w:t xml:space="preserve">σ̂</w:t>
      </w:r>
      <w:r>
        <w:rPr>
          <w:i/>
          <w:iCs/>
          <w:sz w:val="19"/>
          <w:szCs w:val="19"/>
          <w:vertAlign w:val="superscript"/>
        </w:rPr>
        <w:t xml:space="preserve">2</w:t>
      </w:r>
      <w:r>
        <w:t xml:space="preserve"> the variance of the log residuals on a held-out training tail. The correction is exact under Gaussian residuals; Duan's (1983) non-parametric smearing estimator is the alternative, buying robustness at the cost of retaining a residual sample. It applies to every model forecasting in logs, selective application biasing the comparison.</w:t>
      </w:r>
    </w:p>
    <w:p>
      <w:pPr>
        <w:spacing w:after="160" w:line="320"/>
        <w:jc w:val="both"/>
      </w:pPr>
      <w:r>
        <w:t>Appendix C.2 assembles the board these choices produce. Every model appearing in any later table is named there, with the information it may use and the single question its presence answers, so that no result is reported for a specification the reader has not been shown. Roles are those of Table 3.1; an ablation exists to attribute an effect rather than to compete, and a sensitivity is one forecast read a second way, never ranked.</w:t>
      </w:r>
    </w:p>
    <w:p>
      <w:pPr>
        <w:pStyle w:val="Heading2"/>
        <w:spacing w:after="180" w:before="320"/>
      </w:pPr>
      <w:r>
        <w:rPr>
          <w:rFonts w:ascii="Calibri" w:cs="Calibri" w:eastAsia="Calibri" w:hAnsi="Calibri"/>
          <w:b/>
          <w:bCs/>
          <w:color w:val="111111"/>
          <w:sz w:val="26"/>
          <w:szCs w:val="26"/>
        </w:rPr>
        <w:t xml:space="preserve">3.5  Uncertainty Quantification</w:t>
      </w:r>
    </w:p>
    <w:p>
      <w:pPr>
        <w:spacing w:after="160" w:line="320"/>
        <w:jc w:val="both"/>
      </w:pPr>
      <w:r>
        <w:t xml:space="preserve">RQ3 asks whether a forecast's stated uncertainty can be trusted, requiring each model to emit a predictive distribution rather than a number. Two approaches dominate, on incompatible foundations: an approximate-Bayesian method treating the weights as uncertain, and a distribution-free method estimating quantiles directly. Both are implemented, a calibration result holding under only one of them being a result about that method rather than about the pipeline.</w:t>
      </w:r>
    </w:p>
    <w:p>
      <w:pPr>
        <w:spacing w:after="160" w:line="320"/>
        <w:jc w:val="both"/>
      </w:pPr>
      <w:r>
        <w:t xml:space="preserve">The primary method is Monte Carlo dropout (Gal and Ghahramani, 2016). Training is unchanged from Section 3.4, so the fitted weights are the point model's; only inference changes, the dropout staying active while the network runs </w:t>
      </w:r>
      <w:r>
        <w:rPr>
          <w:i/>
          <w:iCs/>
        </w:rPr>
        <w:t>B</w:t>
      </w:r>
      <w:r>
        <w:t xml:space="preserve"> stochastic passes. Shared weights do not make the forecast identical: the predictive mean of Equation 3.5 is the average over those passes, not the deterministic one, so the passes move the point forecast as well as widening the interval — a movement the deterministic specification below is retained to measure. </w:t>
      </w:r>
    </w:p>
    <w:p>
      <w:pPr>
        <w:spacing w:after="160" w:line="320" w:lineRule="auto"/>
        <w:jc w:val="both"/>
      </w:pPr>
      <w:r>
        <w:t>Where that dropout sits is a substantive choice: with a single recurrent layer the only stochastic element at inference is a mask on the final hidden state, so the epistemic term below approximates a posterior over the output layer alone rather than over the recurrent weights. That is the narrower of the two approximations and it biases the interval towards being too tight, which Chapter 5 must weigh against any under-coverage it finds. Reusing the trained weights still keeps the comparison tight: a difference in interval quality is a difference in how uncertainty is formed, not in what the network learned. Those passes and the residual term of Equation 3.4 supply two components of predictive variance, which add:</w:t>
      </w:r>
    </w:p>
    <w:p>
      <w:pPr>
        <w:tabs>
          <w:tab w:val="center" w:pos="4513"/>
          <w:tab w:val="right" w:pos="9026"/>
        </w:tabs>
        <w:spacing w:after="220" w:before="220" w:line="320"/>
      </w:pPr>
      <w:r>
        <w:t xml:space="preserve">	</w:t>
      </w:r>
      <w:r>
        <w:rPr>
          <w:rFonts w:ascii="Cambria Math" w:cs="Cambria Math" w:eastAsia="Cambria Math" w:hAnsi="Cambria Math"/>
          <w:i/>
          <w:iCs/>
          <w:color w:val="111111"/>
          <w:sz w:val="24"/>
          <w:szCs w:val="24"/>
        </w:rPr>
        <w:t xml:space="preserve">μ̂</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w:t>
      </w:r>
      <w:r>
        <w:rPr>
          <w:rFonts w:ascii="Cambria Math" w:cs="Cambria Math" w:eastAsia="Cambria Math" w:hAnsi="Cambria Math"/>
          <w:color w:val="111111"/>
          <w:sz w:val="24"/>
          <w:szCs w:val="24"/>
        </w:rPr>
        <w:t xml:space="preserve">(1/</w:t>
      </w:r>
      <w:r>
        <w:rPr>
          <w:rFonts w:ascii="Cambria Math" w:cs="Cambria Math" w:eastAsia="Cambria Math" w:hAnsi="Cambria Math"/>
          <w:i/>
          <w:iCs/>
          <w:color w:val="111111"/>
          <w:sz w:val="24"/>
          <w:szCs w:val="24"/>
        </w:rPr>
        <w:t>B</w:t>
      </w:r>
      <w:r>
        <w:rPr>
          <w:rFonts w:ascii="Cambria Math" w:cs="Cambria Math" w:eastAsia="Cambria Math" w:hAnsi="Cambria Math"/>
          <w:color w:val="111111"/>
          <w:sz w:val="24"/>
          <w:szCs w:val="24"/>
        </w:rPr>
        <w:t xml:space="preserve">) </w:t>
      </w:r>
      <w:r>
        <w:rPr>
          <w:rFonts w:ascii="Cambria Math" w:cs="Cambria Math" w:eastAsia="Cambria Math" w:hAnsi="Cambria Math"/>
          <w:color w:val="111111"/>
          <w:sz w:val="24"/>
          <w:szCs w:val="24"/>
        </w:rPr>
        <w:t xml:space="preserve">Σ</w:t>
      </w:r>
      <w:r>
        <w:rPr>
          <w:rFonts w:ascii="Cambria Math" w:cs="Cambria Math" w:eastAsia="Cambria Math" w:hAnsi="Cambria Math"/>
          <w:color w:val="111111"/>
          <w:sz w:val="20"/>
          <w:szCs w:val="20"/>
          <w:vertAlign w:val="subscript"/>
        </w:rPr>
        <w:t xml:space="preserve">j=1</w:t>
      </w:r>
      <w:r>
        <w:rPr>
          <w:rFonts w:ascii="Cambria Math" w:cs="Cambria Math" w:eastAsia="Cambria Math" w:hAnsi="Cambria Math"/>
          <w:i/>
          <w:iCs/>
          <w:color w:val="111111"/>
          <w:sz w:val="20"/>
          <w:szCs w:val="20"/>
          <w:vertAlign w:val="superscript"/>
        </w:rPr>
        <w:t>B</w:t>
      </w:r>
      <w:r>
        <w:rPr>
          <w:rFonts w:ascii="Cambria Math" w:cs="Cambria Math" w:eastAsia="Cambria Math" w:hAnsi="Cambria Math"/>
          <w:color w:val="111111"/>
          <w:sz w:val="24"/>
          <w:szCs w:val="24"/>
        </w:rPr>
        <w:t xml:space="preserve"> </w:t>
      </w:r>
      <w:r>
        <w:rPr>
          <w:rFonts w:ascii="Cambria Math" w:cs="Cambria Math" w:eastAsia="Cambria Math" w:hAnsi="Cambria Math"/>
          <w:i/>
          <w:iCs/>
          <w:color w:val="111111"/>
          <w:sz w:val="24"/>
          <w:szCs w:val="24"/>
        </w:rPr>
        <w:t xml:space="preserve">m</w:t>
      </w:r>
      <w:r>
        <w:rPr>
          <w:rFonts w:ascii="Cambria Math" w:cs="Cambria Math" w:eastAsia="Cambria Math" w:hAnsi="Cambria Math"/>
          <w:i/>
          <w:iCs/>
          <w:color w:val="111111"/>
          <w:sz w:val="24"/>
          <w:szCs w:val="24"/>
          <w:vertAlign w:val="subscript"/>
        </w:rPr>
        <w:t xml:space="preserve">t,j</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 xml:space="preserve">σ̂</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0"/>
          <w:szCs w:val="20"/>
          <w:vertAlign w:val="superscript"/>
        </w:rPr>
        <w:t xml:space="preserve">2</w:t>
      </w:r>
      <w:r>
        <w:rPr>
          <w:rFonts w:ascii="Cambria Math" w:cs="Cambria Math" w:eastAsia="Cambria Math" w:hAnsi="Cambria Math"/>
          <w:color w:val="111111"/>
          <w:sz w:val="24"/>
          <w:szCs w:val="24"/>
        </w:rPr>
        <w:t xml:space="preserve">  =  (1/</w:t>
      </w:r>
      <w:r>
        <w:rPr>
          <w:rFonts w:ascii="Cambria Math" w:cs="Cambria Math" w:eastAsia="Cambria Math" w:hAnsi="Cambria Math"/>
          <w:i/>
          <w:iCs/>
          <w:color w:val="111111"/>
          <w:sz w:val="24"/>
          <w:szCs w:val="24"/>
        </w:rPr>
        <w:t>B</w:t>
      </w:r>
      <w:r>
        <w:rPr>
          <w:rFonts w:ascii="Cambria Math" w:cs="Cambria Math" w:eastAsia="Cambria Math" w:hAnsi="Cambria Math"/>
          <w:color w:val="111111"/>
          <w:sz w:val="24"/>
          <w:szCs w:val="24"/>
        </w:rPr>
        <w:t xml:space="preserve">) </w:t>
      </w:r>
      <w:r>
        <w:rPr>
          <w:rFonts w:ascii="Cambria Math" w:cs="Cambria Math" w:eastAsia="Cambria Math" w:hAnsi="Cambria Math"/>
          <w:color w:val="111111"/>
          <w:sz w:val="24"/>
          <w:szCs w:val="24"/>
        </w:rPr>
        <w:t xml:space="preserve">Σ</w:t>
      </w:r>
      <w:r>
        <w:rPr>
          <w:rFonts w:ascii="Cambria Math" w:cs="Cambria Math" w:eastAsia="Cambria Math" w:hAnsi="Cambria Math"/>
          <w:color w:val="111111"/>
          <w:sz w:val="20"/>
          <w:szCs w:val="20"/>
          <w:vertAlign w:val="subscript"/>
        </w:rPr>
        <w:t xml:space="preserve">j=1</w:t>
      </w:r>
      <w:r>
        <w:rPr>
          <w:rFonts w:ascii="Cambria Math" w:cs="Cambria Math" w:eastAsia="Cambria Math" w:hAnsi="Cambria Math"/>
          <w:i/>
          <w:iCs/>
          <w:color w:val="111111"/>
          <w:sz w:val="20"/>
          <w:szCs w:val="20"/>
          <w:vertAlign w:val="superscript"/>
        </w:rPr>
        <w:t>B</w:t>
      </w:r>
      <w:r>
        <w:rPr>
          <w:rFonts w:ascii="Cambria Math" w:cs="Cambria Math" w:eastAsia="Cambria Math" w:hAnsi="Cambria Math"/>
          <w:color w:val="111111"/>
          <w:sz w:val="24"/>
          <w:szCs w:val="24"/>
        </w:rPr>
        <w:t xml:space="preserve"> (</w:t>
      </w:r>
      <w:r>
        <w:rPr>
          <w:rFonts w:ascii="Cambria Math" w:cs="Cambria Math" w:eastAsia="Cambria Math" w:hAnsi="Cambria Math"/>
          <w:i/>
          <w:iCs/>
          <w:color w:val="111111"/>
          <w:sz w:val="24"/>
          <w:szCs w:val="24"/>
        </w:rPr>
        <w:t xml:space="preserve">m</w:t>
      </w:r>
      <w:r>
        <w:rPr>
          <w:rFonts w:ascii="Cambria Math" w:cs="Cambria Math" w:eastAsia="Cambria Math" w:hAnsi="Cambria Math"/>
          <w:i/>
          <w:iCs/>
          <w:color w:val="111111"/>
          <w:sz w:val="24"/>
          <w:szCs w:val="24"/>
          <w:vertAlign w:val="subscript"/>
        </w:rPr>
        <w:t xml:space="preserve">t,j</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 xml:space="preserve">μ̂</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w:t>
      </w:r>
      <w:r>
        <w:rPr>
          <w:rFonts w:ascii="Cambria Math" w:cs="Cambria Math" w:eastAsia="Cambria Math" w:hAnsi="Cambria Math"/>
          <w:color w:val="111111"/>
          <w:sz w:val="20"/>
          <w:szCs w:val="20"/>
          <w:vertAlign w:val="superscript"/>
        </w:rPr>
        <w:t xml:space="preserve">2</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 xml:space="preserve">σ̂</w:t>
      </w:r>
      <w:r>
        <w:rPr>
          <w:rFonts w:ascii="Cambria Math" w:cs="Cambria Math" w:eastAsia="Cambria Math" w:hAnsi="Cambria Math"/>
          <w:color w:val="111111"/>
          <w:sz w:val="20"/>
          <w:szCs w:val="20"/>
          <w:vertAlign w:val="superscript"/>
        </w:rPr>
        <w:t xml:space="preserve">2</w:t>
      </w:r>
      <w:r>
        <w:t xml:space="preserve">	(3.5)</w:t>
      </w:r>
    </w:p>
    <w:p>
      <w:pPr>
        <w:spacing w:after="160" w:line="320"/>
        <w:jc w:val="both"/>
      </w:pPr>
      <w:r>
        <w:t xml:space="preserve">where </w:t>
      </w:r>
      <w:r>
        <w:rPr>
          <w:i/>
          <w:iCs/>
        </w:rPr>
        <w:t xml:space="preserve">B</w:t>
      </w:r>
      <w:r>
        <w:t xml:space="preserve"> is the number of stochastic passes, </w:t>
      </w:r>
      <w:r>
        <w:rPr>
          <w:i/>
          <w:iCs/>
        </w:rPr>
        <w:t xml:space="preserve">m</w:t>
      </w:r>
      <w:r>
        <w:rPr>
          <w:i/>
          <w:iCs/>
          <w:sz w:val="19"/>
          <w:szCs w:val="19"/>
          <w:vertAlign w:val="subscript"/>
        </w:rPr>
        <w:t xml:space="preserve">t,j</w:t>
      </w:r>
      <w:r>
        <w:t xml:space="preserve"> the log-variance output of the </w:t>
      </w:r>
      <w:r>
        <w:rPr>
          <w:i/>
          <w:iCs/>
        </w:rPr>
        <w:t xml:space="preserve">j</w:t>
      </w:r>
      <w:r>
        <w:t xml:space="preserve">-th pass on day </w:t>
      </w:r>
      <w:r>
        <w:rPr>
          <w:i/>
          <w:iCs/>
        </w:rPr>
        <w:t xml:space="preserve">t</w:t>
      </w:r>
      <w:r>
        <w:t xml:space="preserve">, </w:t>
      </w:r>
      <w:r>
        <w:rPr>
          <w:i/>
          <w:iCs/>
        </w:rPr>
        <w:t xml:space="preserve">μ̂</w:t>
      </w:r>
      <w:r>
        <w:rPr>
          <w:i/>
          <w:iCs/>
          <w:sz w:val="19"/>
          <w:szCs w:val="19"/>
          <w:vertAlign w:val="subscript"/>
        </w:rPr>
        <w:t xml:space="preserve">t</w:t>
      </w:r>
      <w:r>
        <w:t xml:space="preserve"> the predictive mean, </w:t>
      </w:r>
      <w:r>
        <w:rPr>
          <w:i/>
          <w:iCs/>
        </w:rPr>
        <w:t xml:space="preserve">σ̂</w:t>
      </w:r>
      <w:r>
        <w:rPr>
          <w:i/>
          <w:iCs/>
          <w:sz w:val="19"/>
          <w:szCs w:val="19"/>
          <w:vertAlign w:val="subscript"/>
        </w:rPr>
        <w:t xml:space="preserve">t</w:t>
      </w:r>
      <w:r>
        <w:rPr>
          <w:i/>
          <w:iCs/>
          <w:sz w:val="19"/>
          <w:szCs w:val="19"/>
          <w:vertAlign w:val="superscript"/>
        </w:rPr>
        <w:t xml:space="preserve">2</w:t>
      </w:r>
      <w:r>
        <w:t xml:space="preserve"> the total predictive variance, its first term the epistemic component, and </w:t>
      </w:r>
      <w:r>
        <w:rPr>
          <w:i/>
          <w:iCs/>
        </w:rPr>
        <w:t xml:space="preserve">σ̂</w:t>
      </w:r>
      <w:r>
        <w:rPr>
          <w:i/>
          <w:iCs/>
          <w:sz w:val="19"/>
          <w:szCs w:val="19"/>
          <w:vertAlign w:val="superscript"/>
        </w:rPr>
        <w:t xml:space="preserve">2</w:t>
      </w:r>
      <w:r>
        <w:t xml:space="preserve"> — without the subscript, and the same quantity as in Equation 3.4 — the aleatoric variance from held-out residuals. The distinction matters for RQ3: epistemic uncertainty should shrink as data accumulates and widen where the model extrapolates, aleatoric uncertainty should not, and an interval omitting either is miscalibrated for a different reason.</w:t>
      </w:r>
      <w:r>
        <w:t xml:space="preserve"> Equation 3.4 then returns the forecast to the variance scale, with </w:t>
      </w:r>
      <w:r>
        <w:rPr>
          <w:i/>
        </w:rPr>
        <w:t>σ̂</w:t>
      </w:r>
      <w:r>
        <w:rPr>
          <w:i/>
          <w:sz w:val="19"/>
          <w:vertAlign w:val="subscript"/>
        </w:rPr>
        <w:t>t</w:t>
      </w:r>
      <w:r>
        <w:rPr>
          <w:i/>
          <w:sz w:val="19"/>
          <w:vertAlign w:val="superscript"/>
        </w:rPr>
        <w:t>2</w:t>
      </w:r>
      <w:r>
        <w:t xml:space="preserve"> in place of </w:t>
      </w:r>
      <w:r>
        <w:rPr>
          <w:i/>
        </w:rPr>
        <w:t>σ̂</w:t>
      </w:r>
      <w:r>
        <w:rPr>
          <w:i/>
          <w:sz w:val="19"/>
          <w:vertAlign w:val="superscript"/>
        </w:rPr>
        <w:t>2</w:t>
      </w:r>
      <w:r>
        <w:t xml:space="preserve">, so </w:t>
      </w:r>
      <w:r>
        <w:rPr>
          <w:i/>
        </w:rPr>
        <w:t>ĥ</w:t>
      </w:r>
      <w:r>
        <w:rPr>
          <w:i/>
          <w:sz w:val="19"/>
          <w:vertAlign w:val="subscript"/>
        </w:rPr>
        <w:t>t</w:t>
      </w:r>
      <w:r>
        <w:t xml:space="preserve"> = exp(</w:t>
      </w:r>
      <w:r>
        <w:rPr>
          <w:i/>
        </w:rPr>
        <w:t>μ̂</w:t>
      </w:r>
      <w:r>
        <w:rPr>
          <w:i/>
          <w:sz w:val="19"/>
          <w:vertAlign w:val="subscript"/>
        </w:rPr>
        <w:t>t</w:t>
      </w:r>
      <w:r>
        <w:t xml:space="preserve"> + ½ </w:t>
      </w:r>
      <w:r>
        <w:rPr>
          <w:i/>
        </w:rPr>
        <w:t>σ̂</w:t>
      </w:r>
      <w:r>
        <w:rPr>
          <w:i/>
          <w:sz w:val="19"/>
          <w:vertAlign w:val="subscript"/>
        </w:rPr>
        <w:t>t</w:t>
      </w:r>
      <w:r>
        <w:rPr>
          <w:i/>
          <w:sz w:val="19"/>
          <w:vertAlign w:val="superscript"/>
        </w:rPr>
        <w:t>2</w:t>
      </w:r>
      <w:r>
        <w:t>).</w:t>
      </w:r>
    </w:p>
    <w:p>
      <w:pPr>
        <w:spacing w:after="160" w:line="320"/>
        <w:jc w:val="both"/>
      </w:pPr>
      <w:r>
        <w:t>The comparison method assumes no distribution: one network carries a multi-quantile head trained under the pinball loss (Koenker and Bassett, 1978), monotone by construction so quantiles cannot cross, and trained at the headline band's endpoints and its median. That decides how it may be scored, a median head estimating a conditional median whereas the losses of Section 3.7 are defined for a mean, which on a right-skewed target differ systematically; its own quantiles identify a log-normal law, which Equation 3.4 converts, and both readings are reported — the median as the model, the converted mean as the sensitivity row of Appendix C.2. A third specification, LSTM-Gaussian in Appendix C.2, is the same network's deterministic forecast with an aleatoric-only interval, isolating what the passes buy. Hyperparameters stay at the Section 3.6 values.</w:t>
      </w:r>
    </w:p>
    <w:p>
      <w:pPr>
        <w:spacing w:after="160" w:line="320" w:lineRule="auto"/>
        <w:jc w:val="both"/>
      </w:pPr>
      <w:r>
        <w:t xml:space="preserve">Equations 3.4 and 3.5 state a Gaussian law on log realised variance, which induces a log-normal law on the variance scale; every interval, quantile and closed-form score below is read off it. The central interval at nominal level 1 − </w:t>
      </w:r>
      <w:r>
        <w:rPr>
          <w:i/>
        </w:rPr>
        <w:t>α</w:t>
      </w:r>
      <w:r>
        <w:t xml:space="preserve"> is</w:t>
      </w:r>
    </w:p>
    <w:p>
      <w:pPr>
        <w:tabs>
          <w:tab w:pos="4513" w:val="center"/>
          <w:tab w:pos="9026" w:val="right"/>
        </w:tabs>
        <w:spacing w:after="220" w:line="320" w:lineRule="auto"/>
      </w:pPr>
      <w:r>
        <w:tab/>
      </w:r>
      <w:r>
        <w:rPr>
          <w:rFonts w:ascii="Cambria Math" w:hAnsi="Cambria Math"/>
          <w:i/>
          <w:color w:val="111111"/>
          <w:sz w:val="24"/>
        </w:rPr>
        <w:t>ℓ</w:t>
      </w:r>
      <w:r>
        <w:rPr>
          <w:rFonts w:ascii="Cambria Math" w:hAnsi="Cambria Math"/>
          <w:i/>
          <w:color w:val="111111"/>
          <w:sz w:val="24"/>
          <w:vertAlign w:val="subscript"/>
        </w:rPr>
        <w:t>t</w:t>
      </w:r>
      <w:r>
        <w:rPr>
          <w:rFonts w:ascii="Cambria Math" w:hAnsi="Cambria Math"/>
          <w:color w:val="111111"/>
          <w:sz w:val="24"/>
        </w:rPr>
        <w:t xml:space="preserve">  =  exp( </w:t>
      </w:r>
      <w:r>
        <w:rPr>
          <w:rFonts w:ascii="Cambria Math" w:hAnsi="Cambria Math"/>
          <w:i/>
          <w:color w:val="111111"/>
          <w:sz w:val="24"/>
        </w:rPr>
        <w:t>μ̂</w:t>
      </w:r>
      <w:r>
        <w:rPr>
          <w:rFonts w:ascii="Cambria Math" w:hAnsi="Cambria Math"/>
          <w:i/>
          <w:color w:val="111111"/>
          <w:sz w:val="24"/>
          <w:vertAlign w:val="subscript"/>
        </w:rPr>
        <w:t>t</w:t>
      </w:r>
      <w:r>
        <w:rPr>
          <w:rFonts w:ascii="Cambria Math" w:hAnsi="Cambria Math"/>
          <w:color w:val="111111"/>
          <w:sz w:val="24"/>
        </w:rPr>
        <w:t xml:space="preserve">  +  </w:t>
      </w:r>
      <w:r>
        <w:rPr>
          <w:rFonts w:ascii="Cambria Math" w:hAnsi="Cambria Math"/>
          <w:color w:val="111111"/>
          <w:sz w:val="24"/>
        </w:rPr>
        <w:t>Φ</w:t>
      </w:r>
      <w:r>
        <w:rPr>
          <w:rFonts w:ascii="Cambria Math" w:hAnsi="Cambria Math"/>
          <w:color w:val="111111"/>
          <w:sz w:val="20"/>
          <w:vertAlign w:val="superscript"/>
        </w:rPr>
        <w:t>−1</w:t>
      </w:r>
      <w:r>
        <w:rPr>
          <w:rFonts w:ascii="Cambria Math" w:hAnsi="Cambria Math"/>
          <w:color w:val="111111"/>
          <w:sz w:val="24"/>
        </w:rPr>
        <w:t>(</w:t>
      </w:r>
      <w:r>
        <w:rPr>
          <w:rFonts w:ascii="Cambria Math" w:hAnsi="Cambria Math"/>
          <w:i/>
          <w:color w:val="111111"/>
          <w:sz w:val="24"/>
        </w:rPr>
        <w:t>α</w:t>
      </w:r>
      <w:r>
        <w:rPr>
          <w:rFonts w:ascii="Cambria Math" w:hAnsi="Cambria Math"/>
          <w:color w:val="111111"/>
          <w:sz w:val="24"/>
        </w:rPr>
        <w:t xml:space="preserve">/2) </w:t>
      </w:r>
      <w:r>
        <w:rPr>
          <w:rFonts w:ascii="Cambria Math" w:hAnsi="Cambria Math"/>
          <w:i/>
          <w:color w:val="111111"/>
          <w:sz w:val="24"/>
        </w:rPr>
        <w:t>σ̂</w:t>
      </w:r>
      <w:r>
        <w:rPr>
          <w:rFonts w:ascii="Cambria Math" w:hAnsi="Cambria Math"/>
          <w:i/>
          <w:color w:val="111111"/>
          <w:sz w:val="24"/>
          <w:vertAlign w:val="subscript"/>
        </w:rPr>
        <w:t>t</w:t>
      </w:r>
      <w:r>
        <w:rPr>
          <w:rFonts w:ascii="Cambria Math" w:hAnsi="Cambria Math"/>
          <w:color w:val="111111"/>
          <w:sz w:val="24"/>
        </w:rPr>
        <w:t xml:space="preserve"> )</w:t>
      </w:r>
      <w:r>
        <w:rPr>
          <w:rFonts w:ascii="Cambria Math" w:hAnsi="Cambria Math"/>
          <w:color w:val="111111"/>
          <w:sz w:val="24"/>
        </w:rPr>
        <w:t xml:space="preserve"> ,        </w:t>
      </w:r>
      <w:r>
        <w:rPr>
          <w:rFonts w:ascii="Cambria Math" w:hAnsi="Cambria Math"/>
          <w:i/>
          <w:color w:val="111111"/>
          <w:sz w:val="24"/>
        </w:rPr>
        <w:t>u</w:t>
      </w:r>
      <w:r>
        <w:rPr>
          <w:rFonts w:ascii="Cambria Math" w:hAnsi="Cambria Math"/>
          <w:i/>
          <w:color w:val="111111"/>
          <w:sz w:val="24"/>
          <w:vertAlign w:val="subscript"/>
        </w:rPr>
        <w:t>t</w:t>
      </w:r>
      <w:r>
        <w:rPr>
          <w:rFonts w:ascii="Cambria Math" w:hAnsi="Cambria Math"/>
          <w:color w:val="111111"/>
          <w:sz w:val="24"/>
        </w:rPr>
        <w:t xml:space="preserve">  =  exp( </w:t>
      </w:r>
      <w:r>
        <w:rPr>
          <w:rFonts w:ascii="Cambria Math" w:hAnsi="Cambria Math"/>
          <w:i/>
          <w:color w:val="111111"/>
          <w:sz w:val="24"/>
        </w:rPr>
        <w:t>μ̂</w:t>
      </w:r>
      <w:r>
        <w:rPr>
          <w:rFonts w:ascii="Cambria Math" w:hAnsi="Cambria Math"/>
          <w:i/>
          <w:color w:val="111111"/>
          <w:sz w:val="24"/>
          <w:vertAlign w:val="subscript"/>
        </w:rPr>
        <w:t>t</w:t>
      </w:r>
      <w:r>
        <w:rPr>
          <w:rFonts w:ascii="Cambria Math" w:hAnsi="Cambria Math"/>
          <w:color w:val="111111"/>
          <w:sz w:val="24"/>
        </w:rPr>
        <w:t xml:space="preserve">  +  </w:t>
      </w:r>
      <w:r>
        <w:rPr>
          <w:rFonts w:ascii="Cambria Math" w:hAnsi="Cambria Math"/>
          <w:color w:val="111111"/>
          <w:sz w:val="24"/>
        </w:rPr>
        <w:t>Φ</w:t>
      </w:r>
      <w:r>
        <w:rPr>
          <w:rFonts w:ascii="Cambria Math" w:hAnsi="Cambria Math"/>
          <w:color w:val="111111"/>
          <w:sz w:val="20"/>
          <w:vertAlign w:val="superscript"/>
        </w:rPr>
        <w:t>−1</w:t>
      </w:r>
      <w:r>
        <w:rPr>
          <w:rFonts w:ascii="Cambria Math" w:hAnsi="Cambria Math"/>
          <w:color w:val="111111"/>
          <w:sz w:val="24"/>
        </w:rPr>
        <w:t>(</w:t>
      </w:r>
      <w:r>
        <w:rPr>
          <w:rFonts w:ascii="Cambria Math" w:hAnsi="Cambria Math"/>
          <w:color w:val="111111"/>
          <w:sz w:val="24"/>
        </w:rPr>
        <w:t xml:space="preserve">1 − </w:t>
      </w:r>
      <w:r>
        <w:rPr>
          <w:rFonts w:ascii="Cambria Math" w:hAnsi="Cambria Math"/>
          <w:i/>
          <w:color w:val="111111"/>
          <w:sz w:val="24"/>
        </w:rPr>
        <w:t>α</w:t>
      </w:r>
      <w:r>
        <w:rPr>
          <w:rFonts w:ascii="Cambria Math" w:hAnsi="Cambria Math"/>
          <w:color w:val="111111"/>
          <w:sz w:val="24"/>
        </w:rPr>
        <w:t xml:space="preserve">/2) </w:t>
      </w:r>
      <w:r>
        <w:rPr>
          <w:rFonts w:ascii="Cambria Math" w:hAnsi="Cambria Math"/>
          <w:i/>
          <w:color w:val="111111"/>
          <w:sz w:val="24"/>
        </w:rPr>
        <w:t>σ̂</w:t>
      </w:r>
      <w:r>
        <w:rPr>
          <w:rFonts w:ascii="Cambria Math" w:hAnsi="Cambria Math"/>
          <w:i/>
          <w:color w:val="111111"/>
          <w:sz w:val="24"/>
          <w:vertAlign w:val="subscript"/>
        </w:rPr>
        <w:t>t</w:t>
      </w:r>
      <w:r>
        <w:rPr>
          <w:rFonts w:ascii="Cambria Math" w:hAnsi="Cambria Math"/>
          <w:color w:val="111111"/>
          <w:sz w:val="24"/>
        </w:rPr>
        <w:t xml:space="preserve"> )</w:t>
      </w:r>
      <w:r>
        <w:tab/>
        <w:t>(3.6)</w:t>
      </w:r>
    </w:p>
    <w:p>
      <w:pPr>
        <w:spacing w:after="160" w:line="320" w:lineRule="auto"/>
        <w:jc w:val="both"/>
      </w:pPr>
      <w:r>
        <w:t xml:space="preserve">where </w:t>
      </w:r>
      <w:r>
        <w:rPr>
          <w:i/>
        </w:rPr>
        <w:t>α</w:t>
      </w:r>
      <w:r>
        <w:t xml:space="preserve"> is one minus the nominal coverage, </w:t>
      </w:r>
      <w:r>
        <w:t>Φ</w:t>
      </w:r>
      <w:r>
        <w:rPr>
          <w:sz w:val="19"/>
          <w:vertAlign w:val="superscript"/>
        </w:rPr>
        <w:t>−1</w:t>
      </w:r>
      <w:r>
        <w:t xml:space="preserve"> the standard normal quantile function, and </w:t>
      </w:r>
      <w:r>
        <w:rPr>
          <w:i/>
        </w:rPr>
        <w:t>σ̂</w:t>
      </w:r>
      <w:r>
        <w:rPr>
          <w:i/>
          <w:sz w:val="19"/>
          <w:vertAlign w:val="subscript"/>
        </w:rPr>
        <w:t>t</w:t>
      </w:r>
      <w:r>
        <w:t xml:space="preserve"> the square root of the predictive variance of Equation 3.5. The same law supplies the closed-form continuous ranked probability score of Section 3.7 and the mean of Equation 3.4. The quantile head states no law — its interval is the two trained quantiles themselves — which is why Section 3.7 scores the two families on a common grid before comparing them.</w:t>
      </w:r>
    </w:p>
    <w:p>
      <w:pPr>
        <w:spacing w:after="160" w:line="320"/>
        <w:jc w:val="both"/>
      </w:pPr>
      <w:r>
        <w:t>A final specification combines the two layers — the regime-conditioned architecture of Section 3.4 with the stochastic passes of this section — and is how the interaction between RQ2 and RQ3 is tested. Which regime architecture it inherits was fixed before that comparison was run: the one whose advantage is both large and carried by a formal test, not the one with the best point estimate in any single state. The smaller states rest on few days, and the most extreme changes sign between the two regime estimators of Section 3.3, so selecting on either would be choosing an architecture on noise.</w:t>
      </w:r>
    </w:p>
    <w:p>
      <w:pPr>
        <w:pStyle w:val="Heading2"/>
        <w:spacing w:after="180" w:before="320"/>
      </w:pPr>
      <w:r>
        <w:rPr>
          <w:rFonts w:ascii="Calibri" w:cs="Calibri" w:eastAsia="Calibri" w:hAnsi="Calibri"/>
          <w:b/>
          <w:bCs/>
          <w:color w:val="111111"/>
          <w:sz w:val="26"/>
          <w:szCs w:val="26"/>
        </w:rPr>
        <w:t xml:space="preserve">3.6  Training Protocol and Parameter Selection</w:t>
      </w:r>
    </w:p>
    <w:p>
      <w:pPr>
        <w:spacing w:after="160" w:line="320"/>
        <w:jc w:val="both"/>
      </w:pPr>
      <w:r>
        <w:t>The data are split by time into three contiguous blocks — training, validation and test — not by random folds. Cross-validation assumes exchangeable observations; volatility is strongly autocorrelated, so a randomly held-out day sits between two the model has seen and is predictable from them alone. The validation block carries every selection decision; none is taken on the test block. Over it the forecasts are produced on an anchored walk-forward, the estimation window growing from the start of the sample, which beats a fixed-length rolling window because regimes recur and discarding an early crisis would leave a model with no instance of the behaviour it most needs to have seen.</w:t>
      </w:r>
    </w:p>
    <w:p>
      <w:pPr>
        <w:spacing w:after="160" w:line="320" w:lineRule="auto"/>
        <w:jc w:val="both"/>
      </w:pPr>
      <w:r>
        <w:t>What that walk-forward re-estimates differs by model, by design. The econometric baselines are refitted on the expanding window at a fixed monthly cadence: they carry a handful of parameters, estimate in a fraction of a second, and withholding recent data from a model that costs nothing to update would be indefensible. The networks are estimated once, on all data preceding the test block, and held fixed across it. Refitting a network at every origin would confound two movements the study needs to keep apart — the forecast changing because the model has seen more data, and the forecast changing because a stochastic optimiser has landed elsewhere — and with a single seed the second is not measurable, so the month-to-month variation could not be attributed to either.</w:t>
      </w:r>
    </w:p>
    <w:p>
      <w:pPr>
        <w:spacing w:after="160" w:line="320" w:lineRule="auto"/>
        <w:jc w:val="both"/>
      </w:pPr>
      <w:r>
        <w:t>Both protocols are leakage-free: no quantity entering a forecast for a given day was computed from that day or later. They are not symmetric, and the asymmetry runs against the networks — the baselines absorb the out-of-sample period as it unfolds, the networks see none of it. A network that wins under this protocol wins conservatively; a network that loses in a state far from its training window cannot be told apart, on this evidence, from one whose training window has gone stale. Separating the two requires refitting the network at the baselines' cadence, a sensitivity this design admits rather than resolves and which Chapter 4 reports.</w:t>
      </w:r>
    </w:p>
    <w:p>
      <w:pPr>
        <w:spacing w:after="160" w:line="320" w:lineRule="auto"/>
        <w:jc w:val="both"/>
      </w:pPr>
      <w:r>
        <w:t>The regime model's estimation window is shorter still: it is fitted on the training block alone — not on all pre-test data, as the networks are — and its posterior is filtered forward without refitting. Those same rows carry a selection, the state count and jump penalty of Section 3.3 being chosen on training data, so re-estimating afterwards would either reopen that choice or freeze it against a fit it no longer describes. Holding the estimation and selection windows identical is the conservative reading, and it means the regime signal at any forecast origin was estimated from strictly less information than the network consuming it.</w:t>
      </w:r>
    </w:p>
    <w:p>
      <w:pPr>
        <w:spacing w:after="160" w:line="320"/>
        <w:jc w:val="both"/>
      </w:pPr>
      <w:r>
        <w:t>Free quantities are chosen by exhaustive grid search, each combination trained on the training block and scored on the validation block. Grid search beats random or Bayesian search here, whose advantages accrue in high-dimensional spaces where a few parameters dominate (Bergstra and Bengio, 2012); with three parameters the grid is small enough to enumerate, so every candidate and its score can be reported and the choice is auditable rather than asserted. Appendix C.3 states the grid, what each hyperparameter controls, how it is selected and the expected effect of increasing it.</w:t>
      </w:r>
    </w:p>
    <w:p>
      <w:pPr>
        <w:spacing w:after="160" w:line="320"/>
        <w:jc w:val="both"/>
      </w:pPr>
      <w:r>
        <w:t>One unswept decision in Appendix C.3 is substantive: the dropout rate is fixed because it also generates the stochastic passes of Section 3.5, so tuning it on point loss would silently tune interval width, letting RQ1's selection decide RQ3's answer. Early stopping monitors a time-ordered tail rather than a random subset, shuffling reintroducing the leakage the outer split prevents.</w:t>
      </w:r>
    </w:p>
    <w:p>
      <w:pPr>
        <w:spacing w:after="160" w:line="320"/>
        <w:jc w:val="both"/>
      </w:pPr>
      <w:r>
        <w:t xml:space="preserve">Leakage discipline is enforced at three further points: standardisers are fitted on training rows only, every input window ends strictly before the date it predicts, and each fold's training window ends the day before its first forecast. With the three Section 3.3 imposes, no quantity entering a forecast for day </w:t>
      </w:r>
      <w:r>
        <w:rPr>
          <w:i/>
          <w:iCs/>
        </w:rPr>
        <w:t xml:space="preserve">t</w:t>
      </w:r>
      <w:r>
        <w:t xml:space="preserve"> was computed with knowledge of any observation dated </w:t>
      </w:r>
      <w:r>
        <w:rPr>
          <w:i/>
          <w:iCs/>
        </w:rPr>
        <w:t xml:space="preserve">t</w:t>
      </w:r>
      <w:r>
        <w:t xml:space="preserve"> or later. The selected architecture is then held fixed for every variant, re-searching each confounding a component's effect with that of a fresh search.</w:t>
      </w:r>
    </w:p>
    <w:p>
      <w:pPr>
        <w:pStyle w:val="Heading2"/>
        <w:spacing w:after="180" w:before="320"/>
      </w:pPr>
      <w:r>
        <w:rPr>
          <w:rFonts w:ascii="Calibri" w:cs="Calibri" w:eastAsia="Calibri" w:hAnsi="Calibri"/>
          <w:b/>
          <w:bCs/>
          <w:color w:val="111111"/>
          <w:sz w:val="26"/>
          <w:szCs w:val="26"/>
        </w:rPr>
        <w:t xml:space="preserve">3.7  Evaluation Design</w:t>
      </w:r>
    </w:p>
    <w:p>
      <w:pPr>
        <w:spacing w:after="160" w:line="320"/>
        <w:jc w:val="both"/>
      </w:pPr>
      <w:r>
        <w:t>Every model is scored on the same held-out block and dates, used once, so the losses are paired as the significance tests require. Table 3.4 lists the criteria and the question each answers; most are conventional and used conventionally, so they are named and cited rather than re-derived, while two depart from standard practice and are defined below. Appendix C.4 fixes the settings at which each was run — lag rules, test sizes, bootstrap controls and seeds. Interval criteria are reported at 90% and 95% for the methods stating a predictive law, and at 90% alone for the quantile head, whose trained quantiles define that band and no other. 90% is the headline because it is the only level at which the two uncertainty methods are comparable; comparing them anywhere else would favour the parametric family by construction.</w:t>
      </w:r>
    </w:p>
    <w:p>
      <w:pPr>
        <w:pStyle w:val="Caption"/>
      </w:pPr>
      <w:r>
        <w:t>Table 3.4  Evaluation criteria and the question each answers. The two departing from standard practice are defined in Equations 3.7 and 3.8.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560"/>
        <w:gridCol w:w="560"/>
        <w:gridCol w:w="3206"/>
      </w:tblGrid>
      <w:tr>
        <w:trPr>
          <w:cantSplit/>
          <w:tblHeader/>
        </w:trPr>
        <w:tc>
          <w:tcPr>
            <w:tcW w:type="dxa" w:w="17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Criterion</w:t>
            </w:r>
          </w:p>
        </w:tc>
        <w:tc>
          <w:tcPr>
            <w:tcW w:type="dxa" w:w="356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What it establishes</w:t>
            </w:r>
          </w:p>
        </w:tc>
        <w:tc>
          <w:tcPr>
            <w:tcW w:type="dxa" w:w="56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RQ</w:t>
            </w:r>
          </w:p>
        </w:tc>
        <w:tc>
          <w:tcPr>
            <w:tcW w:type="dxa" w:w="320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Source</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QLIKE (primary)</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Point accuracy, ranking consistently despite an imperfect proxy</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1, 2</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Patton (2011); Eq. 3.7</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MSE (secondary)</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Point accuracy under a different weighting of large errors</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1</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Patton (2011)</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MAE (descriptive)</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Absolute error; never used to rank, lacking proxy robustness</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Diebold–Mariano</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Whether a difference in average loss is significant, with HAC variance, a finite-sample correction and a Student-</w:t>
            </w:r>
            <w:r>
              <w:rPr>
                <w:rFonts w:ascii="Calibri" w:cs="Calibri" w:eastAsia="Calibri" w:hAnsi="Calibri"/>
                <w:b w:val="false"/>
                <w:bCs w:val="false"/>
                <w:i/>
                <w:iCs/>
                <w:color w:val="444444"/>
                <w:sz w:val="17"/>
                <w:szCs w:val="17"/>
              </w:rPr>
              <w:t xml:space="preserve">t</w:t>
            </w:r>
            <w:r>
              <w:rPr>
                <w:rFonts w:ascii="Calibri" w:cs="Calibri" w:eastAsia="Calibri" w:hAnsi="Calibri"/>
                <w:b w:val="false"/>
                <w:bCs w:val="false"/>
                <w:color w:val="444444"/>
                <w:sz w:val="17"/>
                <w:szCs w:val="17"/>
              </w:rPr>
              <w:t xml:space="preserve"> reference</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1</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Diebold and Mariano (1995); Newey and West (1987); Harvey, Leybourne and Newbold (1997)</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Giacomini–White</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Whether the better model is predictable from the state known at </w:t>
            </w:r>
            <w:r>
              <w:rPr>
                <w:rFonts w:ascii="Calibri" w:cs="Calibri" w:eastAsia="Calibri" w:hAnsi="Calibri"/>
                <w:b w:val="false"/>
                <w:bCs w:val="false"/>
                <w:i/>
                <w:iCs/>
                <w:color w:val="444444"/>
                <w:sz w:val="17"/>
                <w:szCs w:val="17"/>
              </w:rPr>
              <w:t xml:space="preserve">t</w:t>
            </w:r>
            <w:r>
              <w:rPr>
                <w:rFonts w:ascii="Calibri" w:cs="Calibri" w:eastAsia="Calibri" w:hAnsi="Calibri"/>
                <w:b w:val="false"/>
                <w:bCs w:val="false"/>
                <w:color w:val="444444"/>
                <w:sz w:val="17"/>
                <w:szCs w:val="17"/>
              </w:rPr>
              <w:t xml:space="preserve">−1 — RQ2 as a hypothesis</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2</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Giacomini and White (2006)</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Model Confidence Set</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The set indistinguishable from the best, controlling family-wise error at once</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1</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Hansen, Lunde and Nason (2011); Politis and Romano (1994)</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PICP and MPIW</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Interval coverage and width, read as a pair</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3</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Winkler score; CRPS</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The coverage–sharpness trade-off in one proper score</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3</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Gneiting and Raftery (2007)</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Kupiec; Christoffersen; incremental dynamic quantile</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Whether violations match the nominal rate, cluster, or — over and above their own lags — are predictable at t−1</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3</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Kupiec (1995); Christoffersen (1998); Engle and Manganelli (2004)</w:t>
            </w:r>
          </w:p>
        </w:tc>
      </w:tr>
      <w:tr>
        <w:trPr>
          <w:cantSplit/>
          <w:tblHeader w:val="false"/>
        </w:trPr>
        <w:tc>
          <w:tcPr>
            <w:tcW w:type="dxa" w:w="17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Difference in coverage</w:t>
            </w:r>
          </w:p>
        </w:tc>
        <w:tc>
          <w:tcPr>
            <w:tcW w:type="dxa" w:w="3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Whether a subsample's violation rate differs from the rest</w:t>
            </w:r>
          </w:p>
        </w:tc>
        <w:tc>
          <w:tcPr>
            <w:tcW w:type="dxa" w:w="56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3</w:t>
            </w:r>
          </w:p>
        </w:tc>
        <w:tc>
          <w:tcPr>
            <w:tcW w:type="dxa" w:w="320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Project-specific; Eq. 3.8, Holm (1979)</w:t>
            </w:r>
          </w:p>
        </w:tc>
      </w:tr>
    </w:tbl>
    <w:p>
      <w:pPr>
        <w:spacing w:after="160" w:line="320"/>
        <w:jc w:val="both"/>
      </w:pPr>
      <w:r>
        <w:t xml:space="preserve">The primary point loss is QLIKE, and the choice is not stylistic: realised variance is a proxy for an unobservable quantity, and Patton (2011) shows that under an imperfect proxy most loss functions rank models inconsistently. QLIKE is in the restricted class that does not, and it penalises under-prediction more heavily than over-prediction, matching the asymmetric cost Chapter 1 identifies.</w:t>
      </w:r>
    </w:p>
    <w:p>
      <w:pPr>
        <w:tabs>
          <w:tab w:val="center" w:pos="4513"/>
          <w:tab w:val="right" w:pos="9026"/>
        </w:tabs>
        <w:spacing w:after="220" w:before="220" w:line="320"/>
      </w:pPr>
      <w:r>
        <w:t xml:space="preserve">	</w:t>
      </w:r>
      <w:r>
        <w:rPr>
          <w:rFonts w:ascii="Cambria Math" w:cs="Cambria Math" w:eastAsia="Cambria Math" w:hAnsi="Cambria Math"/>
          <w:color w:val="111111"/>
          <w:sz w:val="24"/>
          <w:szCs w:val="24"/>
        </w:rPr>
        <w:t xml:space="preserve">QLIKE</w:t>
      </w:r>
      <w:r>
        <w:rPr>
          <w:rFonts w:ascii="Cambria Math" w:cs="Cambria Math" w:eastAsia="Cambria Math" w:hAnsi="Cambria Math"/>
          <w:color w:val="111111"/>
          <w:sz w:val="24"/>
          <w:szCs w:val="24"/>
        </w:rPr>
        <w:t xml:space="preserve">  =  (1/</w:t>
      </w:r>
      <w:r>
        <w:rPr>
          <w:rFonts w:ascii="Cambria Math" w:cs="Cambria Math" w:eastAsia="Cambria Math" w:hAnsi="Cambria Math"/>
          <w:i/>
          <w:iCs/>
          <w:color w:val="111111"/>
          <w:sz w:val="24"/>
          <w:szCs w:val="24"/>
        </w:rPr>
        <w:t xml:space="preserve">n</w:t>
      </w:r>
      <w:r>
        <w:rPr>
          <w:rFonts w:ascii="Cambria Math" w:cs="Cambria Math" w:eastAsia="Cambria Math" w:hAnsi="Cambria Math"/>
          <w:color w:val="111111"/>
          <w:sz w:val="24"/>
          <w:szCs w:val="24"/>
        </w:rPr>
        <w:t xml:space="preserve">) </w:t>
      </w:r>
      <w:r>
        <w:rPr>
          <w:rFonts w:ascii="Cambria Math" w:cs="Cambria Math" w:eastAsia="Cambria Math" w:hAnsi="Cambria Math"/>
          <w:color w:val="111111"/>
          <w:sz w:val="24"/>
          <w:szCs w:val="24"/>
        </w:rPr>
        <w:t xml:space="preserve">Σ</w:t>
      </w:r>
      <w:r>
        <w:rPr>
          <w:rFonts w:ascii="Cambria Math" w:cs="Cambria Math" w:eastAsia="Cambria Math" w:hAnsi="Cambria Math"/>
          <w:color w:val="111111"/>
          <w:sz w:val="20"/>
          <w:szCs w:val="20"/>
          <w:vertAlign w:val="subscript"/>
        </w:rPr>
        <w:t xml:space="preserve">t=1</w:t>
      </w:r>
      <w:r>
        <w:rPr>
          <w:rFonts w:ascii="Cambria Math" w:cs="Cambria Math" w:eastAsia="Cambria Math" w:hAnsi="Cambria Math"/>
          <w:i/>
          <w:iCs/>
          <w:color w:val="111111"/>
          <w:sz w:val="20"/>
          <w:szCs w:val="20"/>
          <w:vertAlign w:val="superscript"/>
        </w:rPr>
        <w:t xml:space="preserve">n</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RV</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0"/>
          <w:szCs w:val="20"/>
          <w:vertAlign w:val="superscript"/>
        </w:rPr>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ĥ</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log ( </w:t>
      </w:r>
      <w:r>
        <w:rPr>
          <w:rFonts w:ascii="Cambria Math" w:cs="Cambria Math" w:eastAsia="Cambria Math" w:hAnsi="Cambria Math"/>
          <w:i/>
          <w:iCs/>
          <w:color w:val="111111"/>
          <w:sz w:val="24"/>
          <w:szCs w:val="24"/>
        </w:rPr>
        <w:t>RV</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0"/>
          <w:szCs w:val="20"/>
          <w:vertAlign w:val="superscript"/>
        </w:rPr>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ĥ</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w:t>
      </w:r>
      <w:r>
        <w:rPr>
          <w:rFonts w:ascii="Cambria Math" w:cs="Cambria Math" w:eastAsia="Cambria Math" w:hAnsi="Cambria Math"/>
          <w:color w:val="111111"/>
          <w:sz w:val="24"/>
          <w:szCs w:val="24"/>
        </w:rPr>
        <w:t xml:space="preserve">  −  1 ]</w:t>
      </w:r>
      <w:r>
        <w:tab/>
        <w:t>(3.7)</w:t>
      </w:r>
    </w:p>
    <w:p>
      <w:pPr>
        <w:spacing w:after="160" w:line="320"/>
        <w:jc w:val="both"/>
      </w:pPr>
      <w:r>
        <w:t xml:space="preserve">where </w:t>
      </w:r>
      <w:r>
        <w:rPr>
          <w:i/>
          <w:iCs/>
        </w:rPr>
        <w:t xml:space="preserve">n</w:t>
      </w:r>
      <w:r>
        <w:t xml:space="preserve"> is the number of evaluated days, </w:t>
      </w:r>
      <w:r>
        <w:rPr>
          <w:i/>
          <w:iCs/>
        </w:rPr>
        <w:t>RV</w:t>
      </w:r>
      <w:r>
        <w:rPr>
          <w:i/>
          <w:iCs/>
          <w:sz w:val="19"/>
          <w:szCs w:val="19"/>
          <w:vertAlign w:val="superscript"/>
        </w:rPr>
      </w:r>
      <w:r>
        <w:rPr>
          <w:i/>
          <w:iCs/>
          <w:sz w:val="19"/>
          <w:szCs w:val="19"/>
          <w:vertAlign w:val="subscript"/>
        </w:rPr>
        <w:t xml:space="preserve">t</w:t>
      </w:r>
      <w:r>
        <w:t xml:space="preserve"> the realised variance on day </w:t>
      </w:r>
      <w:r>
        <w:rPr>
          <w:i/>
          <w:iCs/>
        </w:rPr>
        <w:t xml:space="preserve">t</w:t>
      </w:r>
      <w:r>
        <w:t xml:space="preserve"> and </w:t>
      </w:r>
      <w:r>
        <w:rPr>
          <w:i/>
          <w:iCs/>
        </w:rPr>
        <w:t>ĥ</w:t>
      </w:r>
      <w:r>
        <w:rPr>
          <w:i/>
          <w:iCs/>
          <w:sz w:val="19"/>
          <w:szCs w:val="19"/>
          <w:vertAlign w:val="subscript"/>
        </w:rPr>
        <w:t xml:space="preserve">t</w:t>
      </w:r>
      <w:r>
        <w:t xml:space="preserve"> the variance forecast for it, both as defined above. QLIKE is more often written without the final two terms; this form subtracts its value at a perfect forecast, so the loss is zero when </w:t>
      </w:r>
      <w:r>
        <w:rPr>
          <w:i/>
          <w:iCs/>
        </w:rPr>
        <w:t>ĥ</w:t>
      </w:r>
      <w:r>
        <w:rPr>
          <w:i/>
          <w:iCs/>
          <w:sz w:val="19"/>
          <w:szCs w:val="19"/>
          <w:vertAlign w:val="subscript"/>
        </w:rPr>
        <w:t xml:space="preserve">t</w:t>
      </w:r>
      <w:r>
        <w:rPr>
          <w:i/>
          <w:iCs/>
        </w:rPr>
        <w:t xml:space="preserve"> = RV</w:t>
      </w:r>
      <w:r>
        <w:rPr>
          <w:i/>
          <w:iCs/>
          <w:sz w:val="19"/>
          <w:szCs w:val="19"/>
          <w:vertAlign w:val="superscript"/>
        </w:rPr>
      </w:r>
      <w:r>
        <w:rPr>
          <w:i/>
          <w:iCs/>
          <w:sz w:val="19"/>
          <w:szCs w:val="19"/>
          <w:vertAlign w:val="subscript"/>
        </w:rPr>
        <w:t xml:space="preserve">t</w:t>
      </w:r>
      <w:r>
        <w:t xml:space="preserve">. It is a Bregman divergence, not a different loss — every ranking and test statistic is unchanged — but a reported number becomes readable as a distance from perfect.</w:t>
      </w:r>
    </w:p>
    <w:p>
      <w:pPr>
        <w:spacing w:after="160" w:line="320"/>
        <w:jc w:val="both"/>
      </w:pPr>
      <w:r>
        <w:t xml:space="preserve">The second departure concerns subsample coverage. A model under-covering globally fails a nominal-level test on every subsample with power, so a rejection there is evidence about its overall level rather than about the subsample, and reading it otherwise attributes a level failure to timing. The quantity isolating a subsample is the difference in violation rates between it and the rest:</w:t>
      </w:r>
    </w:p>
    <w:p>
      <w:pPr>
        <w:tabs>
          <w:tab w:val="center" w:pos="4513"/>
          <w:tab w:val="right" w:pos="9026"/>
        </w:tabs>
        <w:spacing w:after="40" w:before="220" w:line="320"/>
      </w:pPr>
      <w:r>
        <w:t xml:space="preserve">	</w:t>
      </w:r>
      <w:r>
        <w:rPr>
          <w:rFonts w:ascii="Cambria Math" w:cs="Cambria Math" w:eastAsia="Cambria Math" w:hAnsi="Cambria Math"/>
          <w:color w:val="111111"/>
          <w:sz w:val="24"/>
          <w:szCs w:val="24"/>
        </w:rPr>
        <w:t xml:space="preserve">hit</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1{ </w:t>
      </w:r>
      <w:r>
        <w:rPr>
          <w:rFonts w:ascii="Cambria Math" w:cs="Cambria Math" w:eastAsia="Cambria Math" w:hAnsi="Cambria Math"/>
          <w:i/>
          <w:iCs/>
          <w:color w:val="111111"/>
          <w:sz w:val="24"/>
          <w:szCs w:val="24"/>
        </w:rPr>
        <w:t>RV</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&lt; </w:t>
      </w:r>
      <w:r>
        <w:rPr>
          <w:rFonts w:ascii="Cambria Math" w:cs="Cambria Math" w:eastAsia="Cambria Math" w:hAnsi="Cambria Math"/>
          <w:i/>
          <w:iCs/>
          <w:color w:val="111111"/>
          <w:sz w:val="24"/>
          <w:szCs w:val="24"/>
        </w:rPr>
        <w:t xml:space="preserve">ℓ</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or   </w:t>
      </w:r>
      <w:r>
        <w:rPr>
          <w:rFonts w:ascii="Cambria Math" w:cs="Cambria Math" w:eastAsia="Cambria Math" w:hAnsi="Cambria Math"/>
          <w:i/>
          <w:iCs/>
          <w:color w:val="111111"/>
          <w:sz w:val="24"/>
          <w:szCs w:val="24"/>
        </w:rPr>
        <w:t>RV</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&gt; </w:t>
      </w:r>
      <w:r>
        <w:rPr>
          <w:rFonts w:ascii="Cambria Math" w:cs="Cambria Math" w:eastAsia="Cambria Math" w:hAnsi="Cambria Math"/>
          <w:i/>
          <w:iCs/>
          <w:color w:val="111111"/>
          <w:sz w:val="24"/>
          <w:szCs w:val="24"/>
        </w:rPr>
        <w:t xml:space="preserve">u</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w:t>
      </w:r>
    </w:p>
    <w:p>
      <w:pPr>
        <w:tabs>
          <w:tab w:val="center" w:pos="4513"/>
          <w:tab w:val="right" w:pos="9026"/>
        </w:tabs>
        <w:spacing w:after="220" w:before="0" w:line="320"/>
      </w:pPr>
      <w:r>
        <w:t xml:space="preserve">	</w:t>
      </w:r>
      <w:r>
        <w:rPr>
          <w:rFonts w:ascii="Cambria Math" w:cs="Cambria Math" w:eastAsia="Cambria Math" w:hAnsi="Cambria Math"/>
          <w:i/>
          <w:iCs/>
          <w:color w:val="111111"/>
          <w:sz w:val="24"/>
          <w:szCs w:val="24"/>
        </w:rPr>
        <w:t xml:space="preserve">Δ</w:t>
      </w:r>
      <w:r>
        <w:rPr>
          <w:rFonts w:ascii="Cambria Math" w:cs="Cambria Math" w:eastAsia="Cambria Math" w:hAnsi="Cambria Math"/>
          <w:color w:val="111111"/>
          <w:sz w:val="24"/>
          <w:szCs w:val="24"/>
        </w:rPr>
        <w:t xml:space="preserve">  =  </w:t>
      </w:r>
      <w:r>
        <w:rPr>
          <w:rFonts w:ascii="Cambria Math" w:cs="Cambria Math" w:eastAsia="Cambria Math" w:hAnsi="Cambria Math"/>
          <w:color w:val="111111"/>
          <w:sz w:val="24"/>
          <w:szCs w:val="24"/>
        </w:rPr>
        <w:t xml:space="preserve">E[hit</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I</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1]</w:t>
      </w:r>
      <w:r>
        <w:rPr>
          <w:rFonts w:ascii="Cambria Math" w:cs="Cambria Math" w:eastAsia="Cambria Math" w:hAnsi="Cambria Math"/>
          <w:color w:val="111111"/>
          <w:sz w:val="24"/>
          <w:szCs w:val="24"/>
        </w:rPr>
        <w:t xml:space="preserve">  −  </w:t>
      </w:r>
      <w:r>
        <w:rPr>
          <w:rFonts w:ascii="Cambria Math" w:cs="Cambria Math" w:eastAsia="Cambria Math" w:hAnsi="Cambria Math"/>
          <w:color w:val="111111"/>
          <w:sz w:val="24"/>
          <w:szCs w:val="24"/>
        </w:rPr>
        <w:t xml:space="preserve">E[hit</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w:t>
      </w:r>
      <w:r>
        <w:rPr>
          <w:rFonts w:ascii="Cambria Math" w:cs="Cambria Math" w:eastAsia="Cambria Math" w:hAnsi="Cambria Math"/>
          <w:i/>
          <w:iCs/>
          <w:color w:val="111111"/>
          <w:sz w:val="24"/>
          <w:szCs w:val="24"/>
        </w:rPr>
        <w:t>I</w:t>
      </w:r>
      <w:r>
        <w:rPr>
          <w:rFonts w:ascii="Cambria Math" w:cs="Cambria Math" w:eastAsia="Cambria Math" w:hAnsi="Cambria Math"/>
          <w:i/>
          <w:iCs/>
          <w:color w:val="111111"/>
          <w:sz w:val="24"/>
          <w:szCs w:val="24"/>
          <w:vertAlign w:val="subscript"/>
        </w:rPr>
        <w:t xml:space="preserve">t</w:t>
      </w:r>
      <w:r>
        <w:rPr>
          <w:rFonts w:ascii="Cambria Math" w:cs="Cambria Math" w:eastAsia="Cambria Math" w:hAnsi="Cambria Math"/>
          <w:color w:val="111111"/>
          <w:sz w:val="24"/>
          <w:szCs w:val="24"/>
        </w:rPr>
        <w:t xml:space="preserve"> = 0]</w:t>
      </w:r>
      <w:r>
        <w:tab/>
        <w:t>(3.8)</w:t>
      </w:r>
    </w:p>
    <w:p>
      <w:pPr>
        <w:spacing w:after="160" w:line="320"/>
        <w:jc w:val="both"/>
      </w:pPr>
      <w:r>
        <w:t xml:space="preserve">where </w:t>
      </w:r>
      <w:r>
        <w:rPr>
          <w:i/>
          <w:iCs/>
        </w:rPr>
      </w:r>
      <w:r>
        <w:rPr>
          <w:i/>
          <w:iCs/>
          <w:sz w:val="19"/>
          <w:szCs w:val="19"/>
          <w:vertAlign w:val="subscript"/>
        </w:rPr>
      </w:r>
      <w:r/>
      <w:r>
        <w:rPr>
          <w:i/>
          <w:iCs/>
        </w:rPr>
        <w:t xml:space="preserve">ℓ</w:t>
      </w:r>
      <w:r>
        <w:rPr>
          <w:i/>
          <w:iCs/>
          <w:sz w:val="19"/>
          <w:szCs w:val="19"/>
          <w:vertAlign w:val="subscript"/>
        </w:rPr>
        <w:t xml:space="preserve">t</w:t>
      </w:r>
      <w:r>
        <w:t xml:space="preserve"> and </w:t>
      </w:r>
      <w:r>
        <w:rPr>
          <w:i/>
          <w:iCs/>
        </w:rPr>
        <w:t xml:space="preserve">u</w:t>
      </w:r>
      <w:r>
        <w:rPr>
          <w:i/>
          <w:iCs/>
          <w:sz w:val="19"/>
          <w:szCs w:val="19"/>
          <w:vertAlign w:val="subscript"/>
        </w:rPr>
        <w:t xml:space="preserve">t</w:t>
      </w:r>
      <w:r>
        <w:t xml:space="preserve"> are the interval bounds, </w:t>
      </w:r>
      <w:r>
        <w:rPr>
          <w:i/>
          <w:iCs/>
        </w:rPr>
        <w:t>I</w:t>
      </w:r>
      <w:r>
        <w:rPr>
          <w:i/>
          <w:iCs/>
          <w:sz w:val="19"/>
          <w:szCs w:val="19"/>
          <w:vertAlign w:val="subscript"/>
        </w:rPr>
        <w:t xml:space="preserve">t</w:t>
      </w:r>
      <w:r>
        <w:t xml:space="preserve"> a subsample indicator measurable at </w:t>
      </w:r>
      <w:r>
        <w:rPr>
          <w:i/>
          <w:iCs/>
        </w:rPr>
        <w:t xml:space="preserve">t</w:t>
      </w:r>
      <w:r>
        <w:t xml:space="preserve">−1, and </w:t>
      </w:r>
      <w:r>
        <w:rPr>
          <w:i/>
          <w:iCs/>
        </w:rPr>
        <w:t xml:space="preserve">Δ</w:t>
      </w:r>
      <w:r>
        <w:t xml:space="preserve"> the difference in violation rate between flagged days and the remainder, tested as the coefficient on </w:t>
      </w:r>
      <w:r>
        <w:rPr>
          <w:i/>
          <w:iCs/>
        </w:rPr>
        <w:t>I</w:t>
      </w:r>
      <w:r>
        <w:rPr>
          <w:i/>
          <w:iCs/>
          <w:sz w:val="19"/>
          <w:szCs w:val="19"/>
          <w:vertAlign w:val="subscript"/>
        </w:rPr>
        <w:t xml:space="preserve">t</w:t>
      </w:r>
      <w:r>
        <w:t xml:space="preserve"> in a regression of the hit on the indicator with a Newey–West HAC variance, a regime indicator being persistent by construction; the family then takes the Holm correction (Holm, 1979). Coverage and width are reported together, and both tails separately as well as pooled, pooling letting a band too narrow above and too wide below pass on net.</w:t>
      </w:r>
    </w:p>
    <w:p>
      <w:pPr>
        <w:spacing w:after="160" w:line="320"/>
        <w:jc w:val="both"/>
      </w:pPr>
      <w:r>
        <w:t>The same reasoning governs any conditional test of when violations occur. The dynamic-quantile regression contains a constant, through which a globally mis-levelled interval rejects whatever the conditioning variable does, so each such test is run incrementally: it asks whether the conditioner adds explanatory power to a specification already carrying the level and the hit's own lags. The multiplicity family is fixed once rather than assembled per table — its dimensions are method, level and side, giving seven members, four differences in coverage and three incremental tests — so a count of rejections is read against that denominator, not against the number of rows displayed.</w:t>
      </w:r>
    </w:p>
    <w:p>
      <w:pPr>
        <w:spacing w:after="160" w:line="320"/>
        <w:jc w:val="both"/>
      </w:pPr>
      <w:r>
        <w:t>Two qualifications attach to the conditional predictive-ability test and are declared rather than left to be discovered. Its asymptotics assume forecasts come from a finite estimation window, so that estimation error does not vanish and the object under test is the forecasting method rather than the population model: the networks, estimated once and held fixed, satisfy this; the baselines, re-estimated on an expanding window, do not, so one side of every deep-versus-econometric pair sits outside the stated conditions. Its long-run covariance is also mean-centred, which makes the test mildly over-sized. Centring is retained because it is what the pairwise test uses, so the equivalence between the two at a single lag holds exactly, and Chapter 4 measures the effect against the uncentred statistic.</w:t>
      </w:r>
    </w:p>
    <w:p>
      <w:pPr>
        <w:spacing w:after="160" w:line="320"/>
        <w:jc w:val="both"/>
      </w:pPr>
      <w:r>
        <w:t>One criterion in Table 3.4 is not computed the same way for every model, which decides how it may be read. A method stating a parametric predictive law gives the continuous ranked probability score in closed form; a method stating only a set of quantiles gives an approximation on that grid, and on a three-point grid the approximation understates the score materially. The two are therefore never compared directly: every method is scored a second time on the common grid, those figures are compared across methods, and the closed form is quoted only within the parametric family.</w:t>
      </w:r>
    </w:p>
    <w:p>
      <w:pPr>
        <w:spacing w:after="160" w:line="320"/>
        <w:jc w:val="both"/>
      </w:pPr>
      <w:r>
        <w:t>One further quantity is reported alongside the interval criteria, at the headline level, and is a measurement rather than a test. If multiplying a fitted predictive spread by a constant improves a proper score, the spread was wrong by about that factor, and the minimising constant measures how wrong in a units-free way that neither coverage nor width supplies alone. It is found by searching the evaluation window itself, so it describes the shortfall rather than correcting it: an in-sample calibration, not a remedy validated out of sample, which this design retains no held-out data to attempt.</w:t>
      </w:r>
    </w:p>
    <w:p>
      <w:pPr>
        <w:pStyle w:val="Heading2"/>
        <w:spacing w:after="180" w:before="320"/>
      </w:pPr>
      <w:r>
        <w:rPr>
          <w:rFonts w:ascii="Calibri" w:cs="Calibri" w:eastAsia="Calibri" w:hAnsi="Calibri"/>
          <w:b/>
          <w:bCs/>
          <w:color w:val="111111"/>
          <w:sz w:val="26"/>
          <w:szCs w:val="26"/>
        </w:rPr>
        <w:t xml:space="preserve">3.8  Computational Requirements and Reproducibility</w:t>
      </w:r>
    </w:p>
    <w:p>
      <w:pPr>
        <w:spacing w:after="160" w:line="320"/>
        <w:jc w:val="both"/>
      </w:pPr>
      <w:r>
        <w:t>This section states what the method requires of a machine rather than what it happened to run on. The requirement is modest by design, Section 3.4 arguing that inductive bias suits a sample of this size better than capacity does; deployment is smaller still, so the operational constraint is the availability of the daily realised measure rather than computation. Appendix C.5 states the minimum configuration, each requirement following from the architectures of Section 3.4.</w:t>
      </w:r>
    </w:p>
    <w:p>
      <w:pPr>
        <w:spacing w:after="160" w:line="320"/>
        <w:jc w:val="both"/>
      </w:pPr>
      <w:r>
        <w:t>Reproducibility rests on four measures: every stochastic component is seeded, including the dropout masks generating the intervals of Section 3.5; every dependency is pinned in a lock file; one script regenerates every artefact in dependency order; and outputs are written to a versioned directory treated as the source of truth. Pinning is not a formality — the interpreter version is part of the specification, since a rebuild under another may not return the committed values, a discrepancy indistinguishable from an error in the method.</w:t>
      </w:r>
    </w:p>
    <w:p>
      <w:pPr>
        <w:pStyle w:val="Heading2"/>
        <w:spacing w:after="180" w:before="320"/>
      </w:pPr>
      <w:r>
        <w:rPr>
          <w:rFonts w:ascii="Calibri" w:cs="Calibri" w:eastAsia="Calibri" w:hAnsi="Calibri"/>
          <w:b/>
          <w:bCs/>
          <w:color w:val="111111"/>
          <w:sz w:val="26"/>
          <w:szCs w:val="26"/>
        </w:rPr>
        <w:t xml:space="preserve">3.9  Transfer to a Second Market</w:t>
      </w:r>
    </w:p>
    <w:p>
      <w:pPr>
        <w:spacing w:after="160" w:line="320"/>
        <w:jc w:val="both"/>
      </w:pPr>
      <w:r>
        <w:t>RQ4 asks whether the answers to RQ1–RQ3 are properties of the method or of the market it was developed on. It is answered on a deliberately reduced design, and the reduction is what makes it a check rather than a second study: the econometric baselines and a single deep model, on a target constructed identically, under the same losses and the same tests. That model is the regime-conditioned architecture chosen by the rule stated in Section 3.5 — selected on the one state where the regime effect is both large and carried by a formal test, rather than on the lowest pooled loss, so it need not be the top-ranked model on the primary asset. Re-running the full board would multiply comparisons without adding evidence about transfer.</w:t>
      </w:r>
    </w:p>
    <w:p>
      <w:pPr>
        <w:spacing w:after="160" w:line="320"/>
        <w:jc w:val="both"/>
      </w:pPr>
      <w:r>
        <w:t>Three requirements make that check meaningful rather than mechanical. The regime model is re-estimated on each asset rather than carried across, a state path fitted to one market's return distribution not being a description of another's; transferring it would test the map rather than the method. The auxiliary implied-volatility input is dropped wherever the available index prices options on a different market, since that would be a spillover experiment rather than the feature ablation of Section 3.4 — a requirement Table 3.2 already places on the input series. And the modelling frame is assembled by an inner join across sources, so an asset trading on a different exchange calendar yields a different sample; the rows lost to that join are reported rather than absorbed silently.</w:t>
      </w:r>
    </w:p>
    <w:p>
      <w:pPr>
        <w:spacing w:after="160" w:line="320"/>
        <w:jc w:val="both"/>
      </w:pPr>
      <w:r>
        <w:t>What the design can establish is bounded, and the bound is worth stating before any result is read. Agreement across markets is evidence that a finding is not an artefact of one series. Disagreement identifies a finding as market-specific without saying which feature of the market is responsible, and where the evaluation windows overlap — as they do wherever the same crisis falls inside both — agreement is not independent evidence either. Section 3.10 carries both readings as residual risk.</w:t>
      </w:r>
    </w:p>
    <w:p>
      <w:pPr>
        <w:pStyle w:val="Heading2"/>
        <w:spacing w:after="180" w:before="320"/>
      </w:pPr>
      <w:r>
        <w:rPr>
          <w:rFonts w:ascii="Calibri" w:cs="Calibri" w:eastAsia="Calibri" w:hAnsi="Calibri"/>
          <w:b/>
          <w:bCs/>
          <w:color w:val="111111"/>
          <w:sz w:val="26"/>
          <w:szCs w:val="26"/>
        </w:rPr>
        <w:t>3.10  Threats to Validity and Mitigation</w:t>
      </w:r>
    </w:p>
    <w:p>
      <w:pPr>
        <w:spacing w:after="160" w:line="320"/>
        <w:jc w:val="both"/>
      </w:pPr>
      <w:r>
        <w:t>A design is only as credible as its account of what could undermine it. Table 3.5 sets out the threats, the mitigation adopted for each, and what remains; some are closed structurally, while others are only bounded or declared, and those constrain what the results may be taken to show.</w:t>
      </w:r>
    </w:p>
    <w:p>
      <w:pPr>
        <w:pStyle w:val="Caption"/>
      </w:pPr>
      <w:r>
        <w:t>Table 3.5  Threats to validity, mitigation, and residual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0"/>
        <w:gridCol w:w="3400"/>
        <w:gridCol w:w="3286"/>
      </w:tblGrid>
      <w:tr>
        <w:trPr>
          <w:cantSplit/>
          <w:tblHeader/>
        </w:trPr>
        <w:tc>
          <w:tcPr>
            <w:tcW w:type="dxa" w:w="234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Threat</w:t>
            </w:r>
          </w:p>
        </w:tc>
        <w:tc>
          <w:tcPr>
            <w:tcW w:type="dxa" w:w="34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Mitigation</w:t>
            </w:r>
          </w:p>
        </w:tc>
        <w:tc>
          <w:tcPr>
            <w:tcW w:type="dxa" w:w="328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7"/>
                <w:szCs w:val="17"/>
              </w:rPr>
              <w:t xml:space="preserve">Residual risk</w:t>
            </w:r>
          </w:p>
        </w:tc>
      </w:tr>
      <w:tr>
        <w:trPr>
          <w:cantSplit/>
          <w:tblHeader w:val="false"/>
        </w:trPr>
        <w:tc>
          <w:tcPr>
            <w:tcW w:type="dxa" w:w="23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Proxy error: realised variance estimates an unobservable</w:t>
            </w:r>
          </w:p>
        </w:tc>
        <w:tc>
          <w:tcPr>
            <w:tcW w:type="dxa" w:w="3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Proxy-robust losses only (Section 3.7); grid fixed and documented</w:t>
            </w:r>
          </w:p>
        </w:tc>
        <w:tc>
          <w:tcPr>
            <w:tcW w:type="dxa" w:w="328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Coverage is measured against the proxy, not the latent variance</w:t>
            </w:r>
          </w:p>
        </w:tc>
      </w:tr>
      <w:tr>
        <w:trPr>
          <w:cantSplit/>
          <w:tblHeader w:val="false"/>
        </w:trPr>
        <w:tc>
          <w:tcPr>
            <w:tcW w:type="dxa" w:w="23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Look-ahead leakage</w:t>
            </w:r>
          </w:p>
        </w:tc>
        <w:tc>
          <w:tcPr>
            <w:tcW w:type="dxa" w:w="3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Six structural controls across Sections 3.3 and 3.6</w:t>
            </w:r>
          </w:p>
        </w:tc>
        <w:tc>
          <w:tcPr>
            <w:tcW w:type="dxa" w:w="328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Closed by construction; none identified</w:t>
            </w:r>
          </w:p>
        </w:tc>
      </w:tr>
      <w:tr>
        <w:trPr>
          <w:cantSplit/>
          <w:tblHeader w:val="false"/>
        </w:trPr>
        <w:tc>
          <w:tcPr>
            <w:tcW w:type="dxa" w:w="23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Regime labels are estimated</w:t>
            </w:r>
          </w:p>
        </w:tc>
        <w:tc>
          <w:tcPr>
            <w:tcW w:type="dxa" w:w="3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The pipeline is re-run on an independent state estimator (Section 3.3)</w:t>
            </w:r>
          </w:p>
        </w:tc>
        <w:tc>
          <w:tcPr>
            <w:tcW w:type="dxa" w:w="328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Both share a Gaussian-emission family; dependence on that family stays hidden</w:t>
            </w:r>
          </w:p>
        </w:tc>
      </w:tr>
      <w:tr>
        <w:trPr>
          <w:cantSplit/>
          <w:tblHeader w:val="false"/>
        </w:trPr>
        <w:tc>
          <w:tcPr>
            <w:tcW w:type="dxa" w:w="23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One stress episode dominates the window</w:t>
            </w:r>
          </w:p>
        </w:tc>
        <w:tc>
          <w:tcPr>
            <w:tcW w:type="dxa" w:w="3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Results broken out by state and tested conditionally</w:t>
            </w:r>
          </w:p>
        </w:tc>
        <w:tc>
          <w:tcPr>
            <w:tcW w:type="dxa" w:w="328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The crisis subsample is small, so its tests are weak</w:t>
            </w:r>
          </w:p>
        </w:tc>
      </w:tr>
      <w:tr>
        <w:trPr>
          <w:cantSplit/>
          <w:tblHeader w:val="false"/>
        </w:trPr>
        <w:tc>
          <w:tcPr>
            <w:tcW w:type="dxa" w:w="23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Multiple comparisons</w:t>
            </w:r>
          </w:p>
        </w:tc>
        <w:tc>
          <w:tcPr>
            <w:tcW w:type="dxa" w:w="3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Model Confidence Set across models; Holm across the coverage family</w:t>
            </w:r>
          </w:p>
        </w:tc>
        <w:tc>
          <w:tcPr>
            <w:tcW w:type="dxa" w:w="328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w:t>
            </w:r>
          </w:p>
        </w:tc>
      </w:tr>
      <w:tr>
        <w:trPr>
          <w:cantSplit/>
          <w:tblHeader w:val="false"/>
        </w:trPr>
        <w:tc>
          <w:tcPr>
            <w:tcW w:type="dxa" w:w="23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Researcher degrees of freedom</w:t>
            </w:r>
          </w:p>
        </w:tc>
        <w:tc>
          <w:tcPr>
            <w:tcW w:type="dxa" w:w="3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Penalty grid, floor and rule fixed before any result existed; sensitivity sweep published</w:t>
            </w:r>
          </w:p>
        </w:tc>
        <w:tc>
          <w:tcPr>
            <w:tcW w:type="dxa" w:w="328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The feature set and state-count grid were not pre-registered to the same standard</w:t>
            </w:r>
          </w:p>
        </w:tc>
      </w:tr>
      <w:tr>
        <w:trPr>
          <w:cantSplit/>
          <w:tblHeader w:val="false"/>
        </w:trPr>
        <w:tc>
          <w:tcPr>
            <w:tcW w:type="dxa" w:w="23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Single-seed training</w:t>
            </w:r>
          </w:p>
        </w:tc>
        <w:tc>
          <w:tcPr>
            <w:tcW w:type="dxa" w:w="3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Every stochastic component seeded and reported</w:t>
            </w:r>
          </w:p>
        </w:tc>
        <w:tc>
          <w:tcPr>
            <w:tcW w:type="dxa" w:w="328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 xml:space="preserve">Reproducible is not robust: a small gap could be initialisation</w:t>
            </w:r>
          </w:p>
        </w:tc>
      </w:tr>
      <w:tr>
        <w:trPr>
          <w:cantSplit/>
          <w:tblHeader w:val="false"/>
        </w:trPr>
        <w:tc>
          <w:tcPr>
            <w:tcW w:type="dxa" w:w="234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A single frequency, and transfer tested on two further indices</w:t>
            </w:r>
          </w:p>
        </w:tc>
        <w:tc>
          <w:tcPr>
            <w:tcW w:type="dxa" w:w="3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Reduced-design replication on a second market and a second session (Section 3.9)</w:t>
            </w:r>
          </w:p>
        </w:tc>
        <w:tc>
          <w:tcPr>
            <w:tcW w:type="dxa" w:w="328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7"/>
                <w:szCs w:val="17"/>
              </w:rPr>
              <w:t>Daily frequency untested elsewhere; the evaluation windows overlap, so agreement across indices is not independent evidence</w:t>
            </w:r>
          </w:p>
        </w:tc>
      </w:tr>
    </w:tbl>
    <w:p>
      <w:pPr>
        <w:spacing w:after="160" w:line="320"/>
        <w:jc w:val="both"/>
      </w:pPr>
      <w:r>
        <w:t xml:space="preserve">Two shape interpretation most. Every loss, interval and test is computed against realised variance, an estimate of an unobservable, so a coverage figure describes how often the interval contains the proxy and not the truth. And a single stress episode dominates the out-of-sample window, so results are broken out by state rather than pooled. What this design can establish is therefore bounded: under this protocol, on this market and window, it can determine whether regime conditioning and an uncertainty layer improve forecasts against baselines chosen to close off the competing explanations — but not that those findings transfer elsewhere.</w:t>
      </w:r>
    </w:p>
    <w:p>
      <w:pPr>
        <w:spacing w:after="160" w:line="320"/>
        <w:jc w:val="both"/>
      </w:pPr>
      <w:r>
        <w:t xml:space="preserve">The ethical position follows from the data, and is stated here rather than assumed. Both sources are publicly published market aggregates, so no personal data is processed and no privacy or data-protection obligation arises; fairness in the sense the machine-learning literature uses it, concerning decisions taken about identifiable individuals, does not apply. What does apply is the asymmetry noted in Section 3.1: an interval that is too narrow understates risk, and that cost falls on whoever bears the exposure rather than on whoever fits the model — which is why calibration is reported beside accuracy, and by state rather than pooled.</w:t>
      </w:r>
    </w:p>
    <w:p>
      <w:pPr>
        <w:pStyle w:val="Heading2"/>
        <w:spacing w:after="180" w:before="320"/>
      </w:pPr>
      <w:r>
        <w:rPr>
          <w:rFonts w:ascii="Calibri" w:cs="Calibri" w:eastAsia="Calibri" w:hAnsi="Calibri"/>
          <w:b/>
          <w:bCs/>
          <w:color w:val="111111"/>
          <w:sz w:val="26"/>
          <w:szCs w:val="26"/>
        </w:rPr>
        <w:t xml:space="preserve">3.11  Chapter Summary</w:t>
      </w:r>
    </w:p>
    <w:p>
      <w:pPr>
        <w:spacing w:after="160" w:line="320"/>
        <w:jc w:val="both"/>
      </w:pPr>
      <w:r>
        <w:t>This chapter has specified a controlled comparative evaluation in which one component varies at a time: Section 3.2 fixes the data interface and the realised-variance target, Section 3.3 the causal jump-penalised regime signal, Section 3.4 the model specifications that turn each research question into a contrast, Section 3.5 the two uncertainty layers, Section 3.6 the leakage-free training protocol, and Section 3.7 the losses and tests. Each research question maps back to the objectives of Section 1.5 that answer it, and forward to specific evidence: RQ1 (objectives i and ii) to the QLIKE ranking with its Diebold–Mariano tests and the Model Confidence Set; RQ2 (objective iii) to the Giacomini–White test of conditional predictive ability and the per-state breakdown; RQ3 (objective iv) to coverage, width, the proper scores and the interval backtests; and RQ4 (no objective of its own) to the reduced replication of Section 3.9. Section 3.10 states what none of it can establish, and the ethical position the data implies. Chapter 4 reports the values these procedures return.</w:t>
      </w:r>
    </w:p>
    <w:p>
      <w:pPr>
        <w:pStyle w:val="Heading1"/>
        <w:spacing w:before="320" w:after="180"/>
      </w:pPr>
      <w:r>
        <w:rPr>
          <w:rFonts w:ascii="Calibri" w:hAnsi="Calibri"/>
          <w:b/>
        </w:rPr>
        <w:t>References</w:t>
      </w:r>
    </w:p>
    <w:p>
      <w:pPr>
        <w:spacing w:after="160" w:line="320" w:lineRule="auto"/>
        <w:ind w:left="567" w:hanging="567"/>
        <w:jc w:val="left"/>
      </w:pPr>
      <w:r>
        <w:t xml:space="preserve">Andersen, T.G., Bollerslev, T., Diebold, F.X. and Labys, P., 2003. Modeling and forecasting realized volatility. </w:t>
      </w:r>
      <w:r>
        <w:rPr>
          <w:i/>
        </w:rPr>
        <w:t>Econometrica</w:t>
      </w:r>
      <w:r>
        <w:t>, 71(2), pp.579–625. https://doi.org/10.1111/1468-0262.00418</w:t>
      </w:r>
    </w:p>
    <w:p>
      <w:pPr>
        <w:spacing w:after="160" w:line="320" w:lineRule="auto"/>
        <w:ind w:left="567" w:hanging="567"/>
        <w:jc w:val="left"/>
      </w:pPr>
      <w:r>
        <w:t xml:space="preserve">Bergstra, J. and Bengio, Y., 2012. Random search for hyper-parameter optimization. </w:t>
      </w:r>
      <w:r>
        <w:rPr>
          <w:i/>
        </w:rPr>
        <w:t>Journal of Machine Learning Research</w:t>
      </w:r>
      <w:r>
        <w:t>, 13(10), pp.281–305. https://jmlr.org/papers/v13/bergstra12a.html</w:t>
      </w:r>
    </w:p>
    <w:p>
      <w:pPr>
        <w:spacing w:after="160" w:line="320" w:lineRule="auto"/>
        <w:ind w:left="567" w:hanging="567"/>
        <w:jc w:val="left"/>
      </w:pPr>
      <w:r>
        <w:t xml:space="preserve">Bollerslev, T., 1986. Generalized autoregressive conditional heteroskedasticity. </w:t>
      </w:r>
      <w:r>
        <w:rPr>
          <w:i/>
        </w:rPr>
        <w:t>Journal of Econometrics</w:t>
      </w:r>
      <w:r>
        <w:t>, 31(3), pp.307–327. https://doi.org/10.1016/0304-4076(86)90063-1</w:t>
      </w:r>
    </w:p>
    <w:p>
      <w:pPr>
        <w:spacing w:after="160" w:line="320" w:lineRule="auto"/>
        <w:ind w:left="567" w:hanging="567"/>
        <w:jc w:val="left"/>
      </w:pPr>
      <w:r>
        <w:t xml:space="preserve">Christoffersen, P.F., 1998. Evaluating interval forecasts. </w:t>
      </w:r>
      <w:r>
        <w:rPr>
          <w:i/>
        </w:rPr>
        <w:t>International Economic Review</w:t>
      </w:r>
      <w:r>
        <w:t>, 39(4), pp.841–862. https://doi.org/10.2307/2527341</w:t>
      </w:r>
    </w:p>
    <w:p>
      <w:pPr>
        <w:spacing w:after="160" w:line="320" w:lineRule="auto"/>
        <w:ind w:left="567" w:hanging="567"/>
        <w:jc w:val="left"/>
      </w:pPr>
      <w:r>
        <w:t xml:space="preserve">Corsi, F., 2009. A simple approximate long-memory model of realized volatility. </w:t>
      </w:r>
      <w:r>
        <w:rPr>
          <w:i/>
        </w:rPr>
        <w:t>Journal of Financial Econometrics</w:t>
      </w:r>
      <w:r>
        <w:t>, 7(2), pp.174–196. https://doi.org/10.1093/jjfinec/nbp001</w:t>
      </w:r>
    </w:p>
    <w:p>
      <w:pPr>
        <w:spacing w:after="160" w:line="320" w:lineRule="auto"/>
        <w:ind w:left="567" w:hanging="567"/>
        <w:jc w:val="left"/>
      </w:pPr>
      <w:r>
        <w:t xml:space="preserve">Diebold, F.X. and Mariano, R.S., 1995. Comparing predictive accuracy. </w:t>
      </w:r>
      <w:r>
        <w:rPr>
          <w:i/>
        </w:rPr>
        <w:t>Journal of Business &amp; Economic Statistics</w:t>
      </w:r>
      <w:r>
        <w:t>, 13(3), pp.253–263. https://doi.org/10.1080/07350015.1995.10524599</w:t>
      </w:r>
    </w:p>
    <w:p>
      <w:pPr>
        <w:spacing w:after="160" w:line="320" w:lineRule="auto"/>
        <w:ind w:left="567" w:hanging="567"/>
        <w:jc w:val="left"/>
      </w:pPr>
      <w:r>
        <w:t xml:space="preserve">Duan, N., 1983. Smearing estimate: a nonparametric retransformation method. </w:t>
      </w:r>
      <w:r>
        <w:rPr>
          <w:i/>
        </w:rPr>
        <w:t>Journal of the American Statistical Association</w:t>
      </w:r>
      <w:r>
        <w:t>, 78(383), pp.605–610. https://doi.org/10.1080/01621459.1983.10478017</w:t>
      </w:r>
    </w:p>
    <w:p>
      <w:pPr>
        <w:spacing w:after="160" w:line="320" w:lineRule="auto"/>
        <w:ind w:left="567" w:hanging="567"/>
        <w:jc w:val="left"/>
      </w:pPr>
      <w:r>
        <w:t xml:space="preserve">Engle, R.F. and Manganelli, S., 2004. CAViaR: conditional autoregressive value at risk by regression quantiles. </w:t>
      </w:r>
      <w:r>
        <w:rPr>
          <w:i/>
        </w:rPr>
        <w:t>Journal of Business &amp; Economic Statistics</w:t>
      </w:r>
      <w:r>
        <w:t>, 22(4), pp.367–381. https://doi.org/10.1198/073500104000000370</w:t>
      </w:r>
    </w:p>
    <w:p>
      <w:pPr>
        <w:spacing w:after="160" w:line="320" w:lineRule="auto"/>
        <w:ind w:left="567" w:hanging="567"/>
        <w:jc w:val="left"/>
      </w:pPr>
      <w:r>
        <w:t xml:space="preserve">Gal, Y. and Ghahramani, Z., 2016. Dropout as a Bayesian approximation: representing model uncertainty in deep learning. In: </w:t>
      </w:r>
      <w:r>
        <w:rPr>
          <w:i/>
        </w:rPr>
        <w:t>Proceedings of the 33rd International Conference on Machine Learning (ICML)</w:t>
      </w:r>
      <w:r>
        <w:t>, New York, USA, 19–24 June 2016. PMLR 48, pp.1050–1059.</w:t>
      </w:r>
    </w:p>
    <w:p>
      <w:pPr>
        <w:spacing w:after="160" w:line="320" w:lineRule="auto"/>
        <w:ind w:left="567" w:hanging="567"/>
        <w:jc w:val="left"/>
      </w:pPr>
      <w:r>
        <w:t xml:space="preserve">Giacomini, R. and White, H., 2006. Tests of conditional predictive ability. </w:t>
      </w:r>
      <w:r>
        <w:rPr>
          <w:i/>
        </w:rPr>
        <w:t>Econometrica</w:t>
      </w:r>
      <w:r>
        <w:t>, 74(6), pp.1545–1578. https://doi.org/10.1111/j.1468-0262.2006.00718.x</w:t>
      </w:r>
    </w:p>
    <w:p>
      <w:pPr>
        <w:spacing w:after="160" w:line="320" w:lineRule="auto"/>
        <w:ind w:left="567" w:hanging="567"/>
        <w:jc w:val="left"/>
      </w:pPr>
      <w:r>
        <w:t xml:space="preserve">Gneiting, T. and Raftery, A.E., 2007. Strictly proper scoring rules, prediction, and estimation. </w:t>
      </w:r>
      <w:r>
        <w:rPr>
          <w:i/>
        </w:rPr>
        <w:t>Journal of the American Statistical Association</w:t>
      </w:r>
      <w:r>
        <w:t xml:space="preserve">, 102(477), pp.359–378. </w:t>
      </w:r>
      <w:r>
        <w:t>https://doi.org/10.1198/016214506000001437</w:t>
      </w:r>
    </w:p>
    <w:p>
      <w:pPr>
        <w:spacing w:after="160" w:line="320" w:lineRule="auto"/>
        <w:ind w:left="567" w:hanging="567"/>
        <w:jc w:val="left"/>
      </w:pPr>
      <w:r>
        <w:t xml:space="preserve">Hamilton, J.D., 1989. A new approach to the economic analysis of nonstationary time series and the business cycle. </w:t>
      </w:r>
      <w:r>
        <w:rPr>
          <w:i/>
        </w:rPr>
        <w:t>Econometrica</w:t>
      </w:r>
      <w:r>
        <w:t>, 57(2), pp.357–384. https://doi.org/10.2307/1912559</w:t>
      </w:r>
    </w:p>
    <w:p>
      <w:pPr>
        <w:spacing w:after="160" w:line="320" w:lineRule="auto"/>
        <w:ind w:left="567" w:hanging="567"/>
        <w:jc w:val="left"/>
      </w:pPr>
      <w:r>
        <w:t xml:space="preserve">Hansen, P.R., Lunde, A. and Nason, J.M., 2011. The model confidence set. </w:t>
      </w:r>
      <w:r>
        <w:rPr>
          <w:i/>
        </w:rPr>
        <w:t>Econometrica</w:t>
      </w:r>
      <w:r>
        <w:t>, 79(2), pp.453–497. https://doi.org/10.3982/ECTA5771</w:t>
      </w:r>
    </w:p>
    <w:p>
      <w:pPr>
        <w:spacing w:after="160" w:line="320" w:lineRule="auto"/>
        <w:ind w:left="567" w:hanging="567"/>
        <w:jc w:val="left"/>
      </w:pPr>
      <w:r>
        <w:t xml:space="preserve">Harvey, D., Leybourne, S. and Newbold, P., 1997. Testing the equality of prediction mean squared errors. </w:t>
      </w:r>
      <w:r>
        <w:rPr>
          <w:i/>
        </w:rPr>
        <w:t>International Journal of Forecasting</w:t>
      </w:r>
      <w:r>
        <w:t>, 13(2), pp.281–291. https://doi.org/10.1016/S0169-2070(96)00719-4</w:t>
      </w:r>
    </w:p>
    <w:p>
      <w:pPr>
        <w:spacing w:after="160" w:line="320" w:lineRule="auto"/>
        <w:ind w:left="567" w:hanging="567"/>
        <w:jc w:val="left"/>
      </w:pPr>
      <w:r>
        <w:t xml:space="preserve">Hochreiter, S. and Schmidhuber, J., 1997. </w:t>
      </w:r>
      <w:r>
        <w:t xml:space="preserve">Long short-term memory. </w:t>
      </w:r>
      <w:r>
        <w:rPr>
          <w:i/>
        </w:rPr>
        <w:t>Neural Computation</w:t>
      </w:r>
      <w:r>
        <w:t>, 9(8), pp.1735–1780. https://doi.org/10.1162/neco.1997.9.8.1735</w:t>
      </w:r>
    </w:p>
    <w:p>
      <w:pPr>
        <w:spacing w:after="160" w:line="320" w:lineRule="auto"/>
        <w:ind w:left="567" w:hanging="567"/>
        <w:jc w:val="left"/>
      </w:pPr>
      <w:r>
        <w:t xml:space="preserve">Holm, S., 1979. A simple sequentially rejective multiple test procedure. </w:t>
      </w:r>
      <w:r>
        <w:rPr>
          <w:i/>
        </w:rPr>
        <w:t>Scandinavian Journal of Statistics</w:t>
      </w:r>
      <w:r>
        <w:t>, 6(2), pp.65–70.</w:t>
      </w:r>
    </w:p>
    <w:p>
      <w:pPr>
        <w:spacing w:after="160" w:line="320" w:lineRule="auto"/>
        <w:ind w:left="567" w:hanging="567"/>
        <w:jc w:val="left"/>
      </w:pPr>
      <w:r>
        <w:t xml:space="preserve">Jacobs, R.A., Jordan, M.I., Nowlan, S.J. and Hinton, G.E., 1991. Adaptive mixtures of local experts. </w:t>
      </w:r>
      <w:r>
        <w:rPr>
          <w:i/>
        </w:rPr>
        <w:t>Neural Computation</w:t>
      </w:r>
      <w:r>
        <w:t>, 3(1), pp.79–87. https://doi.org/10.1162/neco.1991.3.1.79</w:t>
      </w:r>
    </w:p>
    <w:p>
      <w:pPr>
        <w:spacing w:after="160" w:line="320" w:lineRule="auto"/>
        <w:ind w:left="567" w:hanging="567"/>
        <w:jc w:val="left"/>
      </w:pPr>
      <w:r>
        <w:t xml:space="preserve">Koenker, R. and Bassett, G., 1978. Regression quantiles. </w:t>
      </w:r>
      <w:r>
        <w:rPr>
          <w:i/>
        </w:rPr>
        <w:t>Econometrica</w:t>
      </w:r>
      <w:r>
        <w:t>, 46(1), pp.33–50. https://doi.org/10.2307/1913643</w:t>
      </w:r>
    </w:p>
    <w:p>
      <w:pPr>
        <w:spacing w:after="160" w:line="320" w:lineRule="auto"/>
        <w:ind w:left="567" w:hanging="567"/>
        <w:jc w:val="left"/>
      </w:pPr>
      <w:r>
        <w:t xml:space="preserve">Kupiec, P.H., 1995. Techniques for verifying the accuracy of risk measurement models. </w:t>
      </w:r>
      <w:r>
        <w:rPr>
          <w:i/>
        </w:rPr>
        <w:t>The Journal of Derivatives</w:t>
      </w:r>
      <w:r>
        <w:t>, 3(2), pp.73–84. https://doi.org/10.3905/jod.1995.407942</w:t>
      </w:r>
    </w:p>
    <w:p>
      <w:pPr>
        <w:spacing w:after="160" w:line="320" w:lineRule="auto"/>
        <w:ind w:left="567" w:hanging="567"/>
        <w:jc w:val="left"/>
      </w:pPr>
      <w:r>
        <w:t xml:space="preserve">Lim, B. and Zohren, S., 2021. Time-series forecasting with deep learning: a survey. </w:t>
      </w:r>
      <w:r>
        <w:rPr>
          <w:i/>
        </w:rPr>
        <w:t>Philosophical Transactions of the Royal Society A</w:t>
      </w:r>
      <w:r>
        <w:t xml:space="preserve">, 379(2194), 20200209. </w:t>
      </w:r>
      <w:r>
        <w:t>https://doi.org/10.1098/rsta.2020.0209</w:t>
      </w:r>
    </w:p>
    <w:p>
      <w:pPr>
        <w:spacing w:after="160" w:line="320" w:lineRule="auto"/>
        <w:ind w:left="567" w:hanging="567"/>
        <w:jc w:val="left"/>
      </w:pPr>
      <w:r>
        <w:t xml:space="preserve">Lim, B., Arık, S.Ö., Loeff, N. and Pfister, T., 2021. Temporal fusion transformers for interpretable multi-horizon time series forecasting. </w:t>
      </w:r>
      <w:r>
        <w:rPr>
          <w:i/>
        </w:rPr>
        <w:t>International Journal of Forecasting</w:t>
      </w:r>
      <w:r>
        <w:t>, 37(4), pp.1748–1764. https://doi.org/10.1016/j.ijforecast.2021.03.012</w:t>
      </w:r>
    </w:p>
    <w:p>
      <w:pPr>
        <w:spacing w:after="160" w:line="320" w:lineRule="auto"/>
        <w:ind w:left="567" w:hanging="567"/>
        <w:jc w:val="left"/>
      </w:pPr>
      <w:r>
        <w:t xml:space="preserve">Liu, L.Y., Patton, A.J. and Sheppard, K., 2015. Does anything beat 5-minute RV? A comparison of realized measures across multiple asset classes. </w:t>
      </w:r>
      <w:r>
        <w:rPr>
          <w:i/>
        </w:rPr>
        <w:t>Journal of Econometrics</w:t>
      </w:r>
      <w:r>
        <w:t>, 187(1), pp.293–311. https://doi.org/10.1016/j.jeconom.2015.02.008</w:t>
      </w:r>
    </w:p>
    <w:p>
      <w:pPr>
        <w:spacing w:after="160" w:line="320" w:lineRule="auto"/>
        <w:ind w:left="567" w:hanging="567"/>
        <w:jc w:val="left"/>
      </w:pPr>
      <w:r>
        <w:t xml:space="preserve">Nelson, D.B., 1991. Conditional heteroskedasticity in asset returns: a new approach. </w:t>
      </w:r>
      <w:r>
        <w:rPr>
          <w:i/>
        </w:rPr>
        <w:t>Econometrica</w:t>
      </w:r>
      <w:r>
        <w:t>, 59(2), pp.347–370. https://doi.org/10.2307/2938260</w:t>
      </w:r>
    </w:p>
    <w:p>
      <w:pPr>
        <w:spacing w:after="160" w:line="320" w:lineRule="auto"/>
        <w:ind w:left="567" w:hanging="567"/>
        <w:jc w:val="left"/>
      </w:pPr>
      <w:r>
        <w:t xml:space="preserve">Newey, W.K. and West, K.D., 1987. A simple, positive semi-definite, heteroskedasticity and autocorrelation consistent covariance matrix. </w:t>
      </w:r>
      <w:r>
        <w:rPr>
          <w:i/>
        </w:rPr>
        <w:t>Econometrica</w:t>
      </w:r>
      <w:r>
        <w:t>, 55(3), pp.703–708. https://doi.org/10.2307/1913610</w:t>
      </w:r>
    </w:p>
    <w:p>
      <w:pPr>
        <w:spacing w:after="160" w:line="320" w:lineRule="auto"/>
        <w:ind w:left="567" w:hanging="567"/>
        <w:jc w:val="left"/>
      </w:pPr>
      <w:r>
        <w:t xml:space="preserve">Nystrup, P., Lindström, E. and Madsen, H., 2020. Learning hidden Markov models with persistent states by penalizing jumps. </w:t>
      </w:r>
      <w:r>
        <w:rPr>
          <w:i/>
        </w:rPr>
        <w:t>Expert Systems with Applications</w:t>
      </w:r>
      <w:r>
        <w:t>, 150, 113307. https://doi.org/10.1016/j.eswa.2020.113307</w:t>
      </w:r>
    </w:p>
    <w:p>
      <w:pPr>
        <w:spacing w:after="160" w:line="320" w:lineRule="auto"/>
        <w:ind w:left="567" w:hanging="567"/>
        <w:jc w:val="left"/>
      </w:pPr>
      <w:r>
        <w:t xml:space="preserve">Patton, A.J., 2011. Volatility forecast comparison using imperfect volatility proxies. </w:t>
      </w:r>
      <w:r>
        <w:rPr>
          <w:i/>
        </w:rPr>
        <w:t>Journal of Econometrics</w:t>
      </w:r>
      <w:r>
        <w:t xml:space="preserve">, 160(1), pp.246–256. https://doi.org/10.1016/j.jeconom.2010.03.034 </w:t>
      </w:r>
    </w:p>
    <w:p>
      <w:pPr>
        <w:spacing w:after="160" w:line="320" w:lineRule="auto"/>
        <w:ind w:left="567" w:hanging="567"/>
        <w:jc w:val="left"/>
      </w:pPr>
      <w:r>
        <w:t xml:space="preserve">Politis, D.N. and Romano, J.P., 1994. The stationary bootstrap. </w:t>
      </w:r>
      <w:r>
        <w:rPr>
          <w:i/>
        </w:rPr>
        <w:t>Journal of the American Statistical Association</w:t>
      </w:r>
      <w:r>
        <w:t>, 89(428), pp.1303–1313. https://doi.org/10.1080/01621459.1994.10476870</w:t>
      </w:r>
    </w:p>
    <w:p>
      <w:pPr>
        <w:spacing w:after="160" w:line="320" w:lineRule="auto"/>
        <w:ind w:left="567" w:hanging="567"/>
        <w:jc w:val="left"/>
      </w:pPr>
      <w:r>
        <w:t xml:space="preserve">Vaswani, A., Shazeer, N., Parmar, N., Uszkoreit, J., Jones, L., Gomez, A.N., Kaiser, Ł. and Polosukhin, I., 2017. Attention is all you need. In: </w:t>
      </w:r>
      <w:r>
        <w:rPr>
          <w:i/>
        </w:rPr>
        <w:t>Advances in Neural Information Processing Systems 30 (NeurIPS 2017)</w:t>
      </w:r>
      <w:r>
        <w:t>.</w:t>
      </w:r>
    </w:p>
    <w:p>
      <w:pPr>
        <w:spacing w:after="160" w:line="320" w:lineRule="auto"/>
        <w:ind w:left="567" w:hanging="567"/>
        <w:jc w:val="left"/>
      </w:pPr>
      <w:r>
        <w:t xml:space="preserve">Zeng, A., Chen, M., Zhang, L. and Xu, Q., 2023. Are transformers effective for time series forecasting? </w:t>
      </w:r>
      <w:r>
        <w:rPr>
          <w:i/>
        </w:rPr>
        <w:t>Proceedings of the AAAI Conference on Artificial Intelligence</w:t>
      </w:r>
      <w:r>
        <w:t>, 37(9), pp.11121–11128. https://doi.org/10.1609/aaai.v37i9.26317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uiPriority w:val="35"/>
    <w:unhideWhenUsed/>
    <w:qFormat/>
    <w:pPr>
      <w:spacing w:after="200" w:line="240" w:lineRule="auto"/>
    </w:pPr>
    <w:rPr>
      <w:i/>
      <w:iCs/>
      <w:color w:val="44546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021c43aaddbbffb2eec793cfdff615a93a8dc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Methodology</dc:title>
  <dc:creator>MSc Dissertation</dc:creator>
  <cp:lastModifiedBy>Un-named</cp:lastModifiedBy>
  <cp:revision>1</cp:revision>
  <dcterms:created xsi:type="dcterms:W3CDTF">2026-08-31T21:15:36.745Z</dcterms:created>
  <dcterms:modified xsi:type="dcterms:W3CDTF">2026-08-31T21:15:36.745Z</dcterms:modified>
</cp:coreProperties>
</file>

<file path=docProps/custom.xml><?xml version="1.0" encoding="utf-8"?>
<Properties xmlns="http://schemas.openxmlformats.org/officeDocument/2006/custom-properties" xmlns:vt="http://schemas.openxmlformats.org/officeDocument/2006/docPropsVTypes"/>
</file>