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t>Figure 3.1 shows the pipeline, Sections 3.2 to 3.7 taking its stages in order. The target is realised variance rather than realised volatility, every loss computed on the variance scale, and Table 3.1 fixes each model's role, Appendix C.1 the symbols used throughout, and Appendix C.2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pStyle w:val="Caption"/>
      </w:pPr>
      <w: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pStyle w:val="Caption"/>
      </w:pPr>
      <w:r>
        <w:t>Figure 3.1. The forecasting pipeline. Solid arrows carry data; the dashed arrows carry the regime signal, estimated on the training window only. The bracket marks the stages run at every forecast origin; each estimation box states its own refit cadence, which differs by model family for the reasons given in Section 3.6. The econometric baselines state no predictive law, so Stage 5 produces nothing for them and only the network path reaches the interval criteria. Section 3.9 re-runs the pipeline on two further markets with a reduced board and without Stage 5.</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t xml:space="preserve">	(3.1)</w:t>
      </w:r>
    </w:p>
    <w:p>
      <w:pPr>
        <w:spacing w:after="160" w:line="320"/>
        <w:jc w:val="both"/>
      </w:pPr>
      <w:r>
        <w:t xml:space="preserve">where </w:t>
      </w:r>
      <w:r>
        <w:rPr>
          <w:i/>
          <w:iCs/>
        </w:rPr>
        <w:t xml:space="preserve">P</w:t>
      </w:r>
      <w:r>
        <w:rPr>
          <w:i/>
          <w:iCs/>
          <w:sz w:val="19"/>
          <w:szCs w:val="19"/>
          <w:vertAlign w:val="subscript"/>
        </w:rPr>
        <w:t xml:space="preserve">t,i</w:t>
      </w:r>
      <w:r>
        <w:t xml:space="preserve"> is the </w:t>
      </w:r>
      <w:r>
        <w:rPr>
          <w:i/>
          <w:iCs/>
        </w:rPr>
        <w:t xml:space="preserve">i</w:t>
      </w:r>
      <w:r>
        <w:t xml:space="preserve">-th price on day </w:t>
      </w:r>
      <w:r>
        <w:rPr>
          <w:i/>
          <w:iCs/>
        </w:rPr>
        <w:t xml:space="preserve">t</w:t>
      </w:r>
      <w:r>
        <w:t xml:space="preserve"> on a fixed grid of </w:t>
      </w:r>
      <w:r>
        <w:rPr>
          <w:i/>
          <w:iCs/>
        </w:rPr>
        <w:t xml:space="preserve">M</w:t>
      </w:r>
      <w:r>
        <w:t xml:space="preserve"> intervals, </w:t>
      </w:r>
      <w:r>
        <w:rPr>
          <w:i/>
          <w:iCs/>
        </w:rPr>
        <w:t xml:space="preserve">r</w:t>
      </w:r>
      <w:r>
        <w:rPr>
          <w:i/>
          <w:iCs/>
          <w:sz w:val="19"/>
          <w:szCs w:val="19"/>
          <w:vertAlign w:val="subscript"/>
        </w:rPr>
        <w:t xml:space="preserve">t,i</w:t>
      </w:r>
      <w:r>
        <w:t xml:space="preserve"> the corresponding intraday log return, and </w:t>
      </w:r>
      <w:r>
        <w:rPr>
          <w:i/>
          <w:iCs/>
        </w:rPr>
        <w:t xml:space="preserve">RV</w:t>
      </w:r>
      <w:r>
        <w:rPr>
          <w:i/>
          <w:iCs/>
          <w:sz w:val="19"/>
          <w:szCs w:val="19"/>
          <w:vertAlign w:val="subscript"/>
        </w:rPr>
        <w:t xml:space="preserve">t</w:t>
      </w:r>
      <w:r>
        <w:t xml:space="preserve"> the realised variance of day </w:t>
      </w:r>
      <w:r>
        <w:rPr>
          <w:i/>
          <w:iCs/>
        </w:rPr>
        <w:t xml:space="preserve">t</w:t>
      </w:r>
      <w: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pStyle w:val="Caption"/>
      </w:pPr>
      <w: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With close, the open-to-close return the variance baselines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color w:val="444444"/>
          <w:sz w:val="18"/>
          <w:szCs w:val="18"/>
        </w:rPr>
        <w:t xml:space="preserve">Minimum history: 22 + </w:t>
      </w:r>
      <w:r>
        <w:rPr>
          <w:i/>
          <w:iCs/>
          <w:color w:val="444444"/>
          <w:sz w:val="18"/>
          <w:szCs w:val="18"/>
        </w:rPr>
        <w:t xml:space="preserve">L</w:t>
      </w:r>
      <w:r>
        <w:rPr>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t xml:space="preserve">This stage produces the regime signal of Table 3.1: for every trading day, a distribution over </w:t>
      </w:r>
      <w:r>
        <w:rPr>
          <w:i/>
          <w:iCs/>
        </w:rPr>
        <w:t xml:space="preserve">K</w:t>
      </w:r>
      <w: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i/>
          <w:iCs/>
        </w:rPr>
        <w:t xml:space="preserve">s</w:t>
      </w:r>
      <w:r>
        <w:rPr>
          <w:i/>
          <w:iCs/>
          <w:sz w:val="19"/>
          <w:szCs w:val="19"/>
          <w:vertAlign w:val="subscript"/>
        </w:rPr>
        <w:t xml:space="preserve">t</w:t>
      </w:r>
      <w:r>
        <w:t xml:space="preserve">} and parameters {</w:t>
      </w:r>
      <w:r>
        <w:rPr>
          <w:i/>
          <w:iCs/>
        </w:rPr>
        <w:t xml:space="preserve">θ</w:t>
      </w:r>
      <w:r>
        <w:rPr>
          <w:i/>
          <w:iCs/>
          <w:sz w:val="19"/>
          <w:szCs w:val="19"/>
          <w:vertAlign w:val="subscript"/>
        </w:rPr>
        <w:t xml:space="preserve">k</w:t>
      </w:r>
      <w:r>
        <w:t xml:space="preserve">}, it minimises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t xml:space="preserve">	(3.2)</w:t>
      </w:r>
    </w:p>
    <w:p>
      <w:pPr>
        <w:spacing w:after="160" w:line="320"/>
        <w:jc w:val="both"/>
      </w:pPr>
      <w:r>
        <w:t xml:space="preserve">where </w:t>
      </w:r>
      <w:r>
        <w:rPr>
          <w:i/>
          <w:iCs/>
        </w:rPr>
        <w:t>z</w:t>
      </w:r>
      <w:r>
        <w:rPr>
          <w:i/>
          <w:iCs/>
          <w:sz w:val="19"/>
          <w:szCs w:val="19"/>
          <w:vertAlign w:val="subscript"/>
        </w:rPr>
        <w:t xml:space="preserve">t</w:t>
      </w:r>
      <w:r>
        <w:t xml:space="preserve"> is the standardised regime feature vector on day </w:t>
      </w:r>
      <w:r>
        <w:rPr>
          <w:i/>
          <w:iCs/>
        </w:rPr>
        <w:t xml:space="preserve">t</w:t>
      </w:r>
      <w:r>
        <w:t xml:space="preserve">, </w:t>
      </w:r>
      <w:r>
        <w:rPr>
          <w:i/>
          <w:iCs/>
        </w:rPr>
        <w:t xml:space="preserve">T</w:t>
      </w:r>
      <w:r>
        <w:t xml:space="preserve"> the number of days in the estimation window, </w:t>
      </w:r>
      <w:r>
        <w:rPr>
          <w:i/>
          <w:iCs/>
        </w:rPr>
        <w:t xml:space="preserve">s</w:t>
      </w:r>
      <w:r>
        <w:rPr>
          <w:i/>
          <w:iCs/>
          <w:sz w:val="19"/>
          <w:szCs w:val="19"/>
          <w:vertAlign w:val="subscript"/>
        </w:rPr>
        <w:t xml:space="preserve">t</w:t>
      </w:r>
      <w:r>
        <w:t xml:space="preserve"> ∈ {1, …, </w:t>
      </w:r>
      <w:r>
        <w:rPr>
          <w:i/>
          <w:iCs/>
        </w:rPr>
        <w:t xml:space="preserve">K</w:t>
      </w:r>
      <w:r>
        <w:t xml:space="preserve">} its state, </w:t>
      </w:r>
      <w:r>
        <w:rPr>
          <w:i/>
          <w:iCs/>
        </w:rPr>
        <w:t xml:space="preserve">θ</w:t>
      </w:r>
      <w:r>
        <w:rPr>
          <w:i/>
          <w:iCs/>
          <w:sz w:val="19"/>
          <w:szCs w:val="19"/>
          <w:vertAlign w:val="subscript"/>
        </w:rPr>
        <w:t xml:space="preserve">k</w:t>
      </w:r>
      <w:r>
        <w:t xml:space="preserve"> the Gaussian mean and covariance of state </w:t>
      </w:r>
      <w:r>
        <w:rPr>
          <w:i/>
          <w:iCs/>
        </w:rPr>
        <w:t xml:space="preserve">k</w:t>
      </w:r>
      <w:r>
        <w:t xml:space="preserve">, </w:t>
      </w:r>
      <w:r>
        <w:rPr>
          <w:i/>
          <w:iCs/>
        </w:rPr>
        <w:t>c</w:t>
      </w:r>
      <w:r>
        <w:t xml:space="preserve"> the Gaussian negative log-likelihood, 1{·} the indicator and </w:t>
      </w:r>
      <w:r>
        <w:rPr>
          <w:i/>
          <w:iCs/>
        </w:rPr>
        <w:t xml:space="preserve">λ</w:t>
      </w:r>
      <w:r>
        <w:t xml:space="preserve"> ≥ 0 the penalty charged whenever the state changes. The feature vector is deliberately minimal — the daily close-to-close log return, standardised on training rows only — which is the simple Gaussian emission Section 2.4 argues for. The penalty carries the argument: at </w:t>
      </w:r>
      <w:r>
        <w:rPr>
          <w:i/>
          <w:iCs/>
        </w:rPr>
        <w:t xml:space="preserve">λ</w:t>
      </w:r>
      <w:r>
        <w:t xml:space="preserve"> = 0 the objective is atemporal clustering, and as </w:t>
      </w:r>
      <w:r>
        <w:rPr>
          <w:i/>
          <w:iCs/>
        </w:rPr>
        <w:t xml:space="preserve">λ</w:t>
      </w:r>
      <w:r>
        <w:t xml:space="preserve"> grows the fit buys persistence at the cost of responsiveness. Coordinate descent minimises it; the resulting path then serves as a route to an HMM, whose forward filter yields the filtered posterior </w:t>
      </w:r>
      <w:r>
        <w:rPr>
          <w:i/>
          <w:iCs/>
        </w:rPr>
        <w:t xml:space="preserve">ξ</w:t>
      </w:r>
      <w:r>
        <w:rPr>
          <w:i/>
          <w:iCs/>
          <w:sz w:val="19"/>
          <w:szCs w:val="19"/>
          <w:vertAlign w:val="subscript"/>
        </w:rPr>
        <w:t xml:space="preserve">t</w:t>
      </w:r>
      <w:r>
        <w:t xml:space="preserve"> = </w:t>
      </w:r>
      <w:r>
        <w:rPr>
          <w:i/>
          <w:iCs/>
        </w:rPr>
        <w:t xml:space="preserve">P(s</w:t>
      </w:r>
      <w:r>
        <w:rPr>
          <w:i/>
          <w:iCs/>
          <w:sz w:val="19"/>
          <w:szCs w:val="19"/>
          <w:vertAlign w:val="subscript"/>
        </w:rPr>
        <w:t xml:space="preserve">t</w:t>
      </w:r>
      <w:r>
        <w:rPr>
          <w:i/>
          <w:iCs/>
        </w:rPr>
        <w:t xml:space="preserve"> | z</w:t>
      </w:r>
      <w:r>
        <w:rPr>
          <w:i/>
          <w:iCs/>
          <w:sz w:val="19"/>
          <w:szCs w:val="19"/>
          <w:vertAlign w:val="subscript"/>
        </w:rPr>
        <w:t xml:space="preserve">1</w:t>
      </w:r>
      <w:r>
        <w:rPr>
          <w:i/>
          <w:iCs/>
        </w:rPr>
        <w:t>, …, z</w:t>
      </w:r>
      <w:r>
        <w:rPr>
          <w:i/>
          <w:iCs/>
          <w:sz w:val="19"/>
          <w:szCs w:val="19"/>
          <w:vertAlign w:val="subscript"/>
        </w:rPr>
        <w:t xml:space="preserve">t</w:t>
      </w:r>
      <w:r>
        <w:rPr>
          <w:i/>
          <w:iCs/>
        </w:rPr>
        <w:t xml:space="preserve">)</w:t>
      </w:r>
      <w: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t>The state count is fixed rather than fitted: three states — calm, transitional and crisis — are set in advance on the interpretability grounds of Section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t xml:space="preserve">Likelihood cannot select the penalty, always preferring </w:t>
      </w:r>
      <w:r>
        <w:rPr>
          <w:i/>
          <w:iCs/>
        </w:rPr>
        <w:t xml:space="preserve">λ</w:t>
      </w:r>
      <w:r>
        <w:t xml:space="preserve"> → 0 and so returning the pathology it exists to remove. Selection applies a stated rule to a stated grid — the smallest </w:t>
      </w:r>
      <w:r>
        <w:rPr>
          <w:i/>
          <w:iCs/>
        </w:rPr>
        <w:t xml:space="preserve">λ</w:t>
      </w:r>
      <w: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t>What varies across the models of Table 3.1 is the information each may use and the form each may take, one at a time. Three econometric baselines each close off a competing explanation, alongside a reference floor; Table 3.3 states what each rules out.</w:t>
      </w:r>
    </w:p>
    <w:p>
      <w:pPr>
        <w:pStyle w:val="Caption"/>
      </w:pPr>
      <w: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i/>
          <w:iCs/>
        </w:rPr>
        <w:t xml:space="preserve">L</w:t>
      </w:r>
      <w:r>
        <w:t xml:space="preserve"> trading days through one recurrent layer to a linear output, estimated by mean squared error on standardised log realised variance.</w:t>
      </w:r>
    </w:p>
    <w:p>
      <w:pPr>
        <w:spacing w:after="160" w:line="320"/>
        <w:jc w:val="both"/>
      </w:pPr>
      <w: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t xml:space="preserve">	(3.3)</w:t>
      </w:r>
    </w:p>
    <w:p>
      <w:pPr>
        <w:spacing w:after="160" w:line="320"/>
        <w:jc w:val="both"/>
      </w:pPr>
      <w:r>
        <w:t xml:space="preserve">where </w:t>
      </w:r>
      <w:r>
        <w:rPr>
          <w:i/>
          <w:iCs/>
        </w:rPr>
        <w:t xml:space="preserve">f</w:t>
      </w:r>
      <w:r>
        <w:rPr>
          <w:i/>
          <w:iCs/>
          <w:sz w:val="19"/>
          <w:szCs w:val="19"/>
          <w:vertAlign w:val="subscript"/>
        </w:rPr>
        <w:t xml:space="preserve">k</w:t>
      </w:r>
      <w:r>
        <w:t xml:space="preserve"> is the </w:t>
      </w:r>
      <w:r>
        <w:rPr>
          <w:i/>
          <w:iCs/>
        </w:rPr>
        <w:t xml:space="preserve">k</w:t>
      </w:r>
      <w:r>
        <w:t xml:space="preserve">-th expert, </w:t>
      </w:r>
      <w:r>
        <w:rPr>
          <w:i/>
          <w:iCs/>
        </w:rPr>
        <w:t xml:space="preserve">x</w:t>
      </w:r>
      <w:r>
        <w:t xml:space="preserve"> the network's input window of </w:t>
      </w:r>
      <w:r>
        <w:rPr>
          <w:i/>
          <w:iCs/>
        </w:rPr>
        <w:t xml:space="preserve">L</w:t>
      </w:r>
      <w:r>
        <w:t xml:space="preserve"> days ending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the mixture returns, and </w:t>
      </w:r>
      <w:r>
        <w:rPr>
          <w:i/>
          <w:iCs/>
        </w:rPr>
        <w:t xml:space="preserve">g</w:t>
      </w:r>
      <w:r>
        <w:rPr>
          <w:i/>
          <w:iCs/>
          <w:sz w:val="19"/>
          <w:szCs w:val="19"/>
          <w:vertAlign w:val="subscript"/>
        </w:rPr>
        <w:t xml:space="preserve">k,t</w:t>
      </w:r>
      <w:r>
        <w:t xml:space="preserve"> the gate weight on expert </w:t>
      </w:r>
      <w:r>
        <w:rPr>
          <w:i/>
          <w:iCs/>
        </w:rPr>
        <w:t xml:space="preserve">k</w:t>
      </w:r>
      <w:r>
        <w:t xml:space="preserve"> for day </w:t>
      </w:r>
      <w:r>
        <w:rPr>
          <w:i/>
          <w:iCs/>
        </w:rPr>
        <w:t xml:space="preserve">t</w:t>
      </w:r>
      <w:r>
        <w:t xml:space="preserve">, taken as the k-th element of the filtered posterior of Section 3.3 at </w:t>
      </w:r>
      <w:r>
        <w:rPr>
          <w:i/>
          <w:iCs/>
        </w:rPr>
        <w:t xml:space="preserve">t</w:t>
      </w:r>
      <w: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t xml:space="preserve">The gate also enters training, as a weight rather than a partition: every expert sees every window, weighted by its own gate, so expert </w:t>
      </w:r>
      <w:r>
        <w:rPr>
          <w:i/>
        </w:rPr>
        <w:t>k</w:t>
      </w:r>
      <w:r>
        <w:t xml:space="preserve"> minimises</w:t>
      </w:r>
    </w:p>
    <w:p>
      <w:pPr>
        <w:tabs>
          <w:tab w:pos="4513" w:val="center"/>
          <w:tab w:pos="9026" w:val="right"/>
        </w:tabs>
        <w:spacing w:after="220" w:line="320" w:lineRule="auto"/>
      </w:pPr>
      <w: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tab/>
        <w:t>(3.3b)</w:t>
      </w:r>
    </w:p>
    <w:p>
      <w:pPr>
        <w:spacing w:after="160" w:line="320" w:lineRule="auto"/>
        <w:jc w:val="both"/>
      </w:pPr>
      <w:r>
        <w:t xml:space="preserve">where </w:t>
      </w:r>
      <w:r>
        <w:rPr>
          <w:i/>
        </w:rPr>
        <w:t>J</w:t>
      </w:r>
      <w:r>
        <w:rPr>
          <w:i/>
          <w:sz w:val="19"/>
          <w:vertAlign w:val="subscript"/>
        </w:rPr>
        <w:t>k</w:t>
      </w:r>
      <w:r>
        <w:t xml:space="preserve"> is expert </w:t>
      </w:r>
      <w:r>
        <w:rPr>
          <w:i/>
        </w:rPr>
        <w:t>k</w:t>
      </w:r>
      <w:r>
        <w:t xml:space="preserve">'s training objective, </w:t>
      </w:r>
      <w:r>
        <w:rPr>
          <w:i/>
        </w:rPr>
        <w:t>y</w:t>
      </w:r>
      <w:r>
        <w:rPr>
          <w:i/>
          <w:sz w:val="19"/>
          <w:vertAlign w:val="subscript"/>
        </w:rPr>
        <w:t>t</w:t>
      </w:r>
      <w:r>
        <w:t xml:space="preserve"> the log realised variance of day </w:t>
      </w:r>
      <w:r>
        <w:rPr>
          <w:i/>
        </w:rPr>
        <w:t>t</w:t>
      </w:r>
      <w:r>
        <w:t xml:space="preserve"> on the standardised scale the networks are fitted on, </w:t>
      </w:r>
      <w:r>
        <w:rPr>
          <w:i/>
        </w:rPr>
        <w:t>w</w:t>
      </w:r>
      <w:r>
        <w:rPr>
          <w:i/>
          <w:sz w:val="19"/>
          <w:vertAlign w:val="subscript"/>
        </w:rPr>
        <w:t>k,t</w:t>
      </w:r>
      <w:r>
        <w:t xml:space="preserve"> the gate weight of Equation 3.3 renormalised over the training windows, and </w:t>
      </w:r>
      <w:r>
        <w:rPr>
          <w:i/>
        </w:rPr>
        <w:t>t′</w:t>
      </w:r>
      <w:r>
        <w:t xml:space="preserve"> indexes those windows. Each day therefore contributes to every expert in proportion to how strongly its state was believed active at </w:t>
      </w:r>
      <w:r>
        <w:rPr>
          <w:i/>
        </w:rPr>
        <w:t>t</w:t>
      </w:r>
      <w:r>
        <w:t>−1, so the expert for the crisis state is not confined to crisis days but weights them most heavily; and Equation 3.4 below takes its residual variance from the mixture rather than from any single expert.</w:t>
      </w:r>
    </w:p>
    <w:p>
      <w:pPr>
        <w:spacing w:after="160" w:line="320"/>
        <w:jc w:val="both"/>
      </w:pPr>
      <w: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t xml:space="preserve">	(3.4)</w:t>
      </w:r>
    </w:p>
    <w:p>
      <w:pPr>
        <w:spacing w:after="160" w:line="320"/>
        <w:jc w:val="both"/>
      </w:pPr>
      <w:r>
        <w:t xml:space="preserve">where </w:t>
      </w:r>
      <w:r>
        <w:rPr>
          <w:i/>
          <w:iCs/>
        </w:rPr>
        <w:t>ĥ</w:t>
      </w:r>
      <w:r>
        <w:rPr>
          <w:i/>
          <w:iCs/>
          <w:sz w:val="19"/>
          <w:szCs w:val="19"/>
          <w:vertAlign w:val="subscript"/>
        </w:rPr>
        <w:t>t</w:t>
      </w:r>
      <w:r>
        <w:t xml:space="preserve"> is the variance forecast of </w:t>
      </w:r>
      <w:r>
        <w:rPr>
          <w:i/>
          <w:iCs/>
        </w:rPr>
        <w:t xml:space="preserve">RV</w:t>
      </w:r>
      <w:r>
        <w:rPr>
          <w:i/>
          <w:iCs/>
          <w:sz w:val="19"/>
          <w:szCs w:val="19"/>
          <w:vertAlign w:val="subscript"/>
        </w:rPr>
        <w:t xml:space="preserve">t</w:t>
      </w:r>
      <w:r>
        <w:t xml:space="preserve"> formed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and </w:t>
      </w:r>
      <w:r>
        <w:rPr>
          <w:i/>
          <w:iCs/>
        </w:rPr>
        <w:t xml:space="preserve">σ̂</w:t>
      </w:r>
      <w:r>
        <w:rPr>
          <w:i/>
          <w:iCs/>
          <w:sz w:val="19"/>
          <w:szCs w:val="19"/>
          <w:vertAlign w:val="superscript"/>
        </w:rPr>
        <w:t xml:space="preserve">2</w:t>
      </w:r>
      <w: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t>Appendix C.2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t xml:space="preserve">The primary method is Monte Carlo dropout (Gal and Ghahramani, 2016). Training is unchanged from Section 3.4, so the fitted weights are the point model's; only inference changes, the dropout staying active while the network runs </w:t>
      </w:r>
      <w:r>
        <w:rPr>
          <w:i/>
          <w:iCs/>
        </w:rPr>
        <w:t>B</w:t>
      </w:r>
      <w: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t xml:space="preserve">	(3.5)</w:t>
      </w:r>
    </w:p>
    <w:p>
      <w:pPr>
        <w:spacing w:after="160" w:line="320"/>
        <w:jc w:val="both"/>
      </w:pPr>
      <w:r>
        <w:t xml:space="preserve">where </w:t>
      </w:r>
      <w:r>
        <w:rPr>
          <w:i/>
          <w:iCs/>
        </w:rPr>
        <w:t xml:space="preserve">B</w:t>
      </w:r>
      <w:r>
        <w:t xml:space="preserve"> is the number of stochastic passes, </w:t>
      </w:r>
      <w:r>
        <w:rPr>
          <w:i/>
          <w:iCs/>
        </w:rPr>
        <w:t xml:space="preserve">m</w:t>
      </w:r>
      <w:r>
        <w:rPr>
          <w:i/>
          <w:iCs/>
          <w:sz w:val="19"/>
          <w:szCs w:val="19"/>
          <w:vertAlign w:val="subscript"/>
        </w:rPr>
        <w:t xml:space="preserve">t,j</w:t>
      </w:r>
      <w:r>
        <w:t xml:space="preserve"> the log-variance output of the </w:t>
      </w:r>
      <w:r>
        <w:rPr>
          <w:i/>
          <w:iCs/>
        </w:rPr>
        <w:t xml:space="preserve">j</w:t>
      </w:r>
      <w:r>
        <w:t xml:space="preserve">-th pass on day </w:t>
      </w:r>
      <w:r>
        <w:rPr>
          <w:i/>
          <w:iCs/>
        </w:rPr>
        <w:t xml:space="preserve">t</w:t>
      </w:r>
      <w:r>
        <w:t xml:space="preserve">, </w:t>
      </w:r>
      <w:r>
        <w:rPr>
          <w:i/>
          <w:iCs/>
        </w:rPr>
        <w:t xml:space="preserve">μ̂</w:t>
      </w:r>
      <w:r>
        <w:rPr>
          <w:i/>
          <w:iCs/>
          <w:sz w:val="19"/>
          <w:szCs w:val="19"/>
          <w:vertAlign w:val="subscript"/>
        </w:rPr>
        <w:t xml:space="preserve">t</w:t>
      </w:r>
      <w:r>
        <w:t xml:space="preserve"> the predictive mean, </w:t>
      </w:r>
      <w:r>
        <w:rPr>
          <w:i/>
          <w:iCs/>
        </w:rPr>
        <w:t xml:space="preserve">σ̂</w:t>
      </w:r>
      <w:r>
        <w:rPr>
          <w:i/>
          <w:iCs/>
          <w:sz w:val="19"/>
          <w:szCs w:val="19"/>
          <w:vertAlign w:val="subscript"/>
        </w:rPr>
        <w:t xml:space="preserve">t</w:t>
      </w:r>
      <w:r>
        <w:rPr>
          <w:i/>
          <w:iCs/>
          <w:sz w:val="19"/>
          <w:szCs w:val="19"/>
          <w:vertAlign w:val="superscript"/>
        </w:rPr>
        <w:t xml:space="preserve">2</w:t>
      </w:r>
      <w:r>
        <w:t xml:space="preserve"> the total predictive variance, its first term the epistemic component, and </w:t>
      </w:r>
      <w:r>
        <w:rPr>
          <w:i/>
          <w:iCs/>
        </w:rPr>
        <w:t xml:space="preserve">σ̂</w:t>
      </w:r>
      <w:r>
        <w:rPr>
          <w:i/>
          <w:iCs/>
          <w:sz w:val="19"/>
          <w:szCs w:val="19"/>
          <w:vertAlign w:val="superscript"/>
        </w:rPr>
        <w:t xml:space="preserve">2</w:t>
      </w:r>
      <w: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t xml:space="preserve"> Equation 3.4 then returns the forecast to the variance scale, with </w:t>
      </w:r>
      <w:r>
        <w:rPr>
          <w:i/>
        </w:rPr>
        <w:t>σ̂</w:t>
      </w:r>
      <w:r>
        <w:rPr>
          <w:i/>
          <w:sz w:val="19"/>
          <w:vertAlign w:val="subscript"/>
        </w:rPr>
        <w:t>t</w:t>
      </w:r>
      <w:r>
        <w:rPr>
          <w:i/>
          <w:sz w:val="19"/>
          <w:vertAlign w:val="superscript"/>
        </w:rPr>
        <w:t>2</w:t>
      </w:r>
      <w:r>
        <w:t xml:space="preserve"> in place of </w:t>
      </w:r>
      <w:r>
        <w:rPr>
          <w:i/>
        </w:rPr>
        <w:t>σ̂</w:t>
      </w:r>
      <w:r>
        <w:rPr>
          <w:i/>
          <w:sz w:val="19"/>
          <w:vertAlign w:val="superscript"/>
        </w:rPr>
        <w:t>2</w:t>
      </w:r>
      <w:r>
        <w:t xml:space="preserve">, so </w:t>
      </w:r>
      <w:r>
        <w:rPr>
          <w:i/>
        </w:rPr>
        <w:t>ĥ</w:t>
      </w:r>
      <w:r>
        <w:rPr>
          <w:i/>
          <w:sz w:val="19"/>
          <w:vertAlign w:val="subscript"/>
        </w:rPr>
        <w:t>t</w:t>
      </w:r>
      <w:r>
        <w:t xml:space="preserve"> = exp(</w:t>
      </w:r>
      <w:r>
        <w:rPr>
          <w:i/>
        </w:rPr>
        <w:t>μ̂</w:t>
      </w:r>
      <w:r>
        <w:rPr>
          <w:i/>
          <w:sz w:val="19"/>
          <w:vertAlign w:val="subscript"/>
        </w:rPr>
        <w:t>t</w:t>
      </w:r>
      <w:r>
        <w:t xml:space="preserve"> + ½ </w:t>
      </w:r>
      <w:r>
        <w:rPr>
          <w:i/>
        </w:rPr>
        <w:t>σ̂</w:t>
      </w:r>
      <w:r>
        <w:rPr>
          <w:i/>
          <w:sz w:val="19"/>
          <w:vertAlign w:val="subscript"/>
        </w:rPr>
        <w:t>t</w:t>
      </w:r>
      <w:r>
        <w:rPr>
          <w:i/>
          <w:sz w:val="19"/>
          <w:vertAlign w:val="superscript"/>
        </w:rPr>
        <w:t>2</w:t>
      </w:r>
      <w:r>
        <w:t>).</w:t>
      </w:r>
    </w:p>
    <w:p>
      <w:pPr>
        <w:spacing w:after="160" w:line="320"/>
        <w:jc w:val="both"/>
      </w:pPr>
      <w: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C.2. A third specification, LSTM-Gaussian in Appendix C.2, is the same network's deterministic forecast with an aleatoric-only interval, isolating what the passes buy. Hyperparameters stay at the Section 3.6 values.</w:t>
      </w:r>
    </w:p>
    <w:p>
      <w:pPr>
        <w:spacing w:after="160" w:line="320" w:lineRule="auto"/>
        <w:jc w:val="both"/>
      </w:pPr>
      <w:r>
        <w:t xml:space="preserve">Equations 3.4 and 3.5 state a Gaussian law on log realised variance, which induces a log-normal law on the variance scale; every interval, quantile and closed-form score below is read off it. The central interval at nominal level 1 − </w:t>
      </w:r>
      <w:r>
        <w:rPr>
          <w:i/>
        </w:rPr>
        <w:t>α</w:t>
      </w:r>
      <w:r>
        <w:t xml:space="preserve"> is</w:t>
      </w:r>
    </w:p>
    <w:p>
      <w:pPr>
        <w:tabs>
          <w:tab w:pos="4513" w:val="center"/>
          <w:tab w:pos="9026" w:val="right"/>
        </w:tabs>
        <w:spacing w:after="220" w:line="320" w:lineRule="auto"/>
      </w:pPr>
      <w: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tab/>
        <w:t>(3.6)</w:t>
      </w:r>
    </w:p>
    <w:p>
      <w:pPr>
        <w:spacing w:after="160" w:line="320" w:lineRule="auto"/>
        <w:jc w:val="both"/>
      </w:pPr>
      <w:r>
        <w:t xml:space="preserve">where </w:t>
      </w:r>
      <w:r>
        <w:rPr>
          <w:i/>
        </w:rPr>
        <w:t>α</w:t>
      </w:r>
      <w:r>
        <w:t xml:space="preserve"> is one minus the nominal coverage, </w:t>
      </w:r>
      <w:r>
        <w:t>Φ</w:t>
      </w:r>
      <w:r>
        <w:rPr>
          <w:sz w:val="19"/>
          <w:vertAlign w:val="superscript"/>
        </w:rPr>
        <w:t>−1</w:t>
      </w:r>
      <w:r>
        <w:t xml:space="preserve"> the standard normal quantile function, and </w:t>
      </w:r>
      <w:r>
        <w:rPr>
          <w:i/>
        </w:rPr>
        <w:t>σ̂</w:t>
      </w:r>
      <w:r>
        <w:rPr>
          <w:i/>
          <w:sz w:val="19"/>
          <w:vertAlign w:val="subscript"/>
        </w:rPr>
        <w:t>t</w:t>
      </w:r>
      <w: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C.3 states the grid, what each hyperparameter controls, how it is selected and the expected effect of increasing it.</w:t>
      </w:r>
    </w:p>
    <w:p>
      <w:pPr>
        <w:spacing w:after="160" w:line="320"/>
        <w:jc w:val="both"/>
      </w:pPr>
      <w:r>
        <w:t>One unswept decision in Appendix C.3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i/>
          <w:iCs/>
        </w:rPr>
        <w:t xml:space="preserve">t</w:t>
      </w:r>
      <w:r>
        <w:t xml:space="preserve"> was computed with knowledge of any observation dated </w:t>
      </w:r>
      <w:r>
        <w:rPr>
          <w:i/>
          <w:iCs/>
        </w:rPr>
        <w:t xml:space="preserve">t</w:t>
      </w:r>
      <w: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Appendix C.4 fixes the settings at which each was run — lag rules, test sizes, bootstrap controls and seeds. Interval criteria are reported at 90% and 95% for the methods stating a predictive law, and at 90% alone for the quantile head, whose trained quantiles define that band and no other. 90% is the headline because it is the only level at which the two uncertainty methods are comparable; comparing them anywhere else would favour the parametric family by construction.</w:t>
      </w:r>
    </w:p>
    <w:p>
      <w:pPr>
        <w:pStyle w:val="Caption"/>
      </w:pPr>
      <w: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tab/>
        <w:t>(3.7)</w:t>
      </w:r>
    </w:p>
    <w:p>
      <w:pPr>
        <w:spacing w:after="160" w:line="320"/>
        <w:jc w:val="both"/>
      </w:pPr>
      <w:r>
        <w:t xml:space="preserve">where </w:t>
      </w:r>
      <w:r>
        <w:rPr>
          <w:i/>
          <w:iCs/>
        </w:rPr>
        <w:t xml:space="preserve">n</w:t>
      </w:r>
      <w:r>
        <w:t xml:space="preserve"> is the number of evaluated days, </w:t>
      </w:r>
      <w:r>
        <w:rPr>
          <w:i/>
          <w:iCs/>
        </w:rPr>
        <w:t>RV</w:t>
      </w:r>
      <w:r>
        <w:rPr>
          <w:i/>
          <w:iCs/>
          <w:sz w:val="19"/>
          <w:szCs w:val="19"/>
          <w:vertAlign w:val="superscript"/>
        </w:rPr>
      </w:r>
      <w:r>
        <w:rPr>
          <w:i/>
          <w:iCs/>
          <w:sz w:val="19"/>
          <w:szCs w:val="19"/>
          <w:vertAlign w:val="subscript"/>
        </w:rPr>
        <w:t xml:space="preserve">t</w:t>
      </w:r>
      <w:r>
        <w:t xml:space="preserve"> the realised variance on day </w:t>
      </w:r>
      <w:r>
        <w:rPr>
          <w:i/>
          <w:iCs/>
        </w:rPr>
        <w:t xml:space="preserve">t</w:t>
      </w:r>
      <w:r>
        <w:t xml:space="preserve"> and </w:t>
      </w:r>
      <w:r>
        <w:rPr>
          <w:i/>
          <w:iCs/>
        </w:rPr>
        <w:t>ĥ</w:t>
      </w:r>
      <w:r>
        <w:rPr>
          <w:i/>
          <w:iCs/>
          <w:sz w:val="19"/>
          <w:szCs w:val="19"/>
          <w:vertAlign w:val="subscript"/>
        </w:rPr>
        <w:t xml:space="preserve">t</w:t>
      </w:r>
      <w:r>
        <w:t xml:space="preserve"> the variance forecast for it, both as defined above. QLIKE is more often written without the final two terms; this form subtracts its value at a perfect forecast, so the loss is zero when </w:t>
      </w:r>
      <w:r>
        <w:rPr>
          <w:i/>
          <w:iCs/>
        </w:rPr>
        <w:t>ĥ</w:t>
      </w:r>
      <w:r>
        <w:rPr>
          <w:i/>
          <w:iCs/>
          <w:sz w:val="19"/>
          <w:szCs w:val="19"/>
          <w:vertAlign w:val="subscript"/>
        </w:rPr>
        <w:t xml:space="preserve">t</w:t>
      </w:r>
      <w:r>
        <w:rPr>
          <w:i/>
          <w:iCs/>
        </w:rPr>
        <w:t xml:space="preserve"> = RV</w:t>
      </w:r>
      <w:r>
        <w:rPr>
          <w:i/>
          <w:iCs/>
          <w:sz w:val="19"/>
          <w:szCs w:val="19"/>
          <w:vertAlign w:val="superscript"/>
        </w:rPr>
      </w:r>
      <w:r>
        <w:rPr>
          <w:i/>
          <w:iCs/>
          <w:sz w:val="19"/>
          <w:szCs w:val="19"/>
          <w:vertAlign w:val="subscript"/>
        </w:rPr>
        <w:t xml:space="preserve">t</w:t>
      </w:r>
      <w:r>
        <w:t xml:space="preserve">. It is a Bregman divergence, not a different loss — every ranking and test statistic is unchanged — but a reported number becomes readable as a distance from perfect.</w:t>
      </w:r>
    </w:p>
    <w:p>
      <w:pPr>
        <w:spacing w:after="160" w:line="320"/>
        <w:jc w:val="both"/>
      </w:pPr>
      <w: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tab/>
        <w:t>(3.8)</w:t>
      </w:r>
    </w:p>
    <w:p>
      <w:pPr>
        <w:spacing w:after="160" w:line="320"/>
        <w:jc w:val="both"/>
      </w:pPr>
      <w:r>
        <w:t xml:space="preserve">where </w:t>
      </w:r>
      <w:r>
        <w:rPr>
          <w:i/>
          <w:iCs/>
        </w:rPr>
      </w:r>
      <w:r>
        <w:rPr>
          <w:i/>
          <w:iCs/>
          <w:sz w:val="19"/>
          <w:szCs w:val="19"/>
          <w:vertAlign w:val="subscript"/>
        </w:rPr>
      </w:r>
      <w:r/>
      <w:r>
        <w:rPr>
          <w:i/>
          <w:iCs/>
        </w:rPr>
        <w:t xml:space="preserve">ℓ</w:t>
      </w:r>
      <w:r>
        <w:rPr>
          <w:i/>
          <w:iCs/>
          <w:sz w:val="19"/>
          <w:szCs w:val="19"/>
          <w:vertAlign w:val="subscript"/>
        </w:rPr>
        <w:t xml:space="preserve">t</w:t>
      </w:r>
      <w:r>
        <w:t xml:space="preserve"> and </w:t>
      </w:r>
      <w:r>
        <w:rPr>
          <w:i/>
          <w:iCs/>
        </w:rPr>
        <w:t xml:space="preserve">u</w:t>
      </w:r>
      <w:r>
        <w:rPr>
          <w:i/>
          <w:iCs/>
          <w:sz w:val="19"/>
          <w:szCs w:val="19"/>
          <w:vertAlign w:val="subscript"/>
        </w:rPr>
        <w:t xml:space="preserve">t</w:t>
      </w:r>
      <w:r>
        <w:t xml:space="preserve"> are the interval bounds, </w:t>
      </w:r>
      <w:r>
        <w:rPr>
          <w:i/>
          <w:iCs/>
        </w:rPr>
        <w:t>I</w:t>
      </w:r>
      <w:r>
        <w:rPr>
          <w:i/>
          <w:iCs/>
          <w:sz w:val="19"/>
          <w:szCs w:val="19"/>
          <w:vertAlign w:val="subscript"/>
        </w:rPr>
        <w:t xml:space="preserve">t</w:t>
      </w:r>
      <w:r>
        <w:t xml:space="preserve"> a subsample indicator measurable at </w:t>
      </w:r>
      <w:r>
        <w:rPr>
          <w:i/>
          <w:iCs/>
        </w:rPr>
        <w:t xml:space="preserve">t</w:t>
      </w:r>
      <w:r>
        <w:t xml:space="preserve">−1, and </w:t>
      </w:r>
      <w:r>
        <w:rPr>
          <w:i/>
          <w:iCs/>
        </w:rPr>
        <w:t xml:space="preserve">Δ</w:t>
      </w:r>
      <w:r>
        <w:t xml:space="preserve"> the difference in violation rate between flagged days and the remainder, tested as the coefficient on </w:t>
      </w:r>
      <w:r>
        <w:rPr>
          <w:i/>
          <w:iCs/>
        </w:rPr>
        <w:t>I</w:t>
      </w:r>
      <w:r>
        <w:rPr>
          <w:i/>
          <w:iCs/>
          <w:sz w:val="19"/>
          <w:szCs w:val="19"/>
          <w:vertAlign w:val="subscript"/>
        </w:rPr>
        <w:t xml:space="preserve">t</w:t>
      </w:r>
      <w: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t>One further quantity is reported alongside the interval criteria, at the headline level,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C.5 states the minimum configuration, each requirement following from the architectures of Section 3.4.</w:t>
      </w:r>
    </w:p>
    <w:p>
      <w:pPr>
        <w:spacing w:after="160" w:line="320"/>
        <w:jc w:val="both"/>
      </w:pPr>
      <w: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pStyle w:val="Caption"/>
      </w:pPr>
      <w: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spacing w:after="160" w:line="320"/>
        <w:jc w:val="both"/>
      </w:pPr>
      <w:r>
        <w:t xml:space="preserve">The ethical position follows from the data, and is stated here rather than assumed. Both sources are publicly published market aggregates, so no personal data is processed and no privacy or data-protection obligation arises; fairness in the sense the machine-learning literature uses it, concerning decisions taken about identifiable individuals, does not apply. What does apply is the asymmetry noted in Section 3.1: an interval that is too narrow understates risk, and that cost falls on whoever bears the exposure rather than on whoever fits the model — which is why calibration is reported beside accuracy, and by state rather than pooled.</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back to the objectives of Section 1.5 that answer it, and forward to specific evidence: RQ1 (objectives i and ii) to the QLIKE ranking with its Diebold–Mariano tests and the Model Confidence Set; RQ2 (objective iii) to the Giacomini–White test of conditional predictive ability and the per-state breakdown; RQ3 (objective iv) to coverage, width, the proper scores and the interval backtests; and RQ4 (no objective of its own) to the reduced replication of Section 3.9. Section 3.10 states what none of it can establish, and the ethical position the data implies.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pPr>
        <w:spacing w:after="160" w:line="320" w:lineRule="auto"/>
        <w:ind w:left="567" w:hanging="567"/>
        <w:jc w:val="left"/>
      </w:pPr>
      <w:r>
        <w:t xml:space="preserve">Bergstra, J. and Bengio, Y., 2012. Random search for hyper-parameter optimization. </w:t>
      </w:r>
      <w:r>
        <w:rPr>
          <w:i/>
        </w:rPr>
        <w:t>Journal of Machine Learning Research</w:t>
      </w:r>
      <w:r>
        <w:t>, 13(10), pp.281–305. https://jmlr.org/papers/v13/bergstra12a.html</w:t>
      </w:r>
    </w:p>
    <w:p>
      <w:pPr>
        <w:spacing w:after="160" w:line="320" w:lineRule="auto"/>
        <w:ind w:left="567" w:hanging="567"/>
        <w:jc w:val="left"/>
      </w:pPr>
      <w:r>
        <w:t xml:space="preserve">Bollerslev, T., 1986. Generalized autoregressive conditional heteroskedasticity. </w:t>
      </w:r>
      <w:r>
        <w:rPr>
          <w:i/>
        </w:rPr>
        <w:t>Journal of Econometrics</w:t>
      </w:r>
      <w:r>
        <w:t>, 31(3), pp.307–327. https://doi.org/10.1016/0304-4076(86)90063-1</w:t>
      </w:r>
    </w:p>
    <w:p>
      <w:pPr>
        <w:spacing w:after="160" w:line="320" w:lineRule="auto"/>
        <w:ind w:left="567" w:hanging="567"/>
        <w:jc w:val="left"/>
      </w:pPr>
      <w:r>
        <w:t xml:space="preserve">Christoffersen, P.F., 1998. Evaluating interval forecasts. </w:t>
      </w:r>
      <w:r>
        <w:rPr>
          <w:i/>
        </w:rPr>
        <w:t>International Economic Review</w:t>
      </w:r>
      <w:r>
        <w:t>, 39(4), pp.841–862. https://doi.org/10.2307/2527341</w:t>
      </w:r>
    </w:p>
    <w:p>
      <w:pPr>
        <w:spacing w:after="160" w:line="32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pPr>
        <w:spacing w:after="160" w:line="32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pPr>
        <w:spacing w:after="160" w:line="320" w:lineRule="auto"/>
        <w:ind w:left="567" w:hanging="567"/>
        <w:jc w:val="left"/>
      </w:pPr>
      <w:r>
        <w:t xml:space="preserve">Duan, N., 1983. Smearing estimate: a nonparametric retransformation method. </w:t>
      </w:r>
      <w:r>
        <w:rPr>
          <w:i/>
        </w:rPr>
        <w:t>Journal of the American Statistical Association</w:t>
      </w:r>
      <w:r>
        <w:t>, 78(383), pp.605–610. https://doi.org/10.1080/01621459.1983.10478017</w:t>
      </w:r>
    </w:p>
    <w:p>
      <w:pPr>
        <w:spacing w:after="160" w:line="32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pPr>
        <w:spacing w:after="160" w:line="32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pPr>
        <w:spacing w:after="160" w:line="320" w:lineRule="auto"/>
        <w:ind w:left="567" w:hanging="567"/>
        <w:jc w:val="left"/>
      </w:pPr>
      <w:r>
        <w:t xml:space="preserve">Giacomini, R. and White, H., 2006. Tests of conditional predictive ability. </w:t>
      </w:r>
      <w:r>
        <w:rPr>
          <w:i/>
        </w:rPr>
        <w:t>Econometrica</w:t>
      </w:r>
      <w:r>
        <w:t>, 74(6), pp.1545–1578. https://doi.org/10.1111/j.1468-0262.2006.00718.x</w:t>
      </w:r>
    </w:p>
    <w:p>
      <w:pPr>
        <w:spacing w:after="160" w:line="32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r>
        <w:t>https://doi.org/10.1198/016214506000001437</w:t>
      </w:r>
    </w:p>
    <w:p>
      <w:pPr>
        <w:spacing w:after="160" w:line="32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pPr>
        <w:spacing w:after="160" w:line="320" w:lineRule="auto"/>
        <w:ind w:left="567" w:hanging="567"/>
        <w:jc w:val="left"/>
      </w:pPr>
      <w:r>
        <w:t xml:space="preserve">Hansen, P.R., Lunde, A. and Nason, J.M., 2011. The model confidence set. </w:t>
      </w:r>
      <w:r>
        <w:rPr>
          <w:i/>
        </w:rPr>
        <w:t>Econometrica</w:t>
      </w:r>
      <w:r>
        <w:t>, 79(2), pp.453–497. https://doi.org/10.3982/ECTA5771</w:t>
      </w:r>
    </w:p>
    <w:p>
      <w:pPr>
        <w:spacing w:after="160" w:line="320" w:lineRule="auto"/>
        <w:ind w:left="567" w:hanging="567"/>
        <w:jc w:val="left"/>
      </w:pPr>
      <w:r>
        <w:t xml:space="preserve">Harvey, D., Leybourne, S. and Newbold, P., 1997. Testing the equality of prediction mean squared errors. </w:t>
      </w:r>
      <w:r>
        <w:rPr>
          <w:i/>
        </w:rPr>
        <w:t>International Journal of Forecasting</w:t>
      </w:r>
      <w:r>
        <w:t>, 13(2), pp.281–291. https://doi.org/10.1016/S0169-2070(96)00719-4</w:t>
      </w:r>
    </w:p>
    <w:p>
      <w:pPr>
        <w:spacing w:after="160" w:line="320" w:lineRule="auto"/>
        <w:ind w:left="567" w:hanging="567"/>
        <w:jc w:val="left"/>
      </w:pPr>
      <w:r>
        <w:t xml:space="preserve">Hochreiter, S. and Schmidhuber, J., 1997. </w:t>
      </w:r>
      <w:r>
        <w:t xml:space="preserve">Long short-term memory. </w:t>
      </w:r>
      <w:r>
        <w:rPr>
          <w:i/>
        </w:rPr>
        <w:t>Neural Computation</w:t>
      </w:r>
      <w:r>
        <w:t>, 9(8), pp.1735–1780. https://doi.org/10.1162/neco.1997.9.8.1735</w:t>
      </w:r>
    </w:p>
    <w:p>
      <w:pPr>
        <w:spacing w:after="160" w:line="320" w:lineRule="auto"/>
        <w:ind w:left="567" w:hanging="567"/>
        <w:jc w:val="left"/>
      </w:pPr>
      <w:r>
        <w:t xml:space="preserve">Holm, S., 1979. A simple sequentially rejective multiple test procedure. </w:t>
      </w:r>
      <w:r>
        <w:rPr>
          <w:i/>
        </w:rPr>
        <w:t>Scandinavian Journal of Statistics</w:t>
      </w:r>
      <w:r>
        <w:t>, 6(2), pp.65–70.</w:t>
      </w:r>
    </w:p>
    <w:p>
      <w:pPr>
        <w:spacing w:after="160" w:line="320" w:lineRule="auto"/>
        <w:ind w:left="567" w:hanging="567"/>
        <w:jc w:val="left"/>
      </w:pPr>
      <w:r>
        <w:t xml:space="preserve">Jacobs, R.A., Jordan, M.I., Nowlan, S.J. and Hinton, G.E., 1991. Adaptive mixtures of local experts. </w:t>
      </w:r>
      <w:r>
        <w:rPr>
          <w:i/>
        </w:rPr>
        <w:t>Neural Computation</w:t>
      </w:r>
      <w:r>
        <w:t>, 3(1), pp.79–87. https://doi.org/10.1162/neco.1991.3.1.79</w:t>
      </w:r>
    </w:p>
    <w:p>
      <w:pPr>
        <w:spacing w:after="160" w:line="320" w:lineRule="auto"/>
        <w:ind w:left="567" w:hanging="567"/>
        <w:jc w:val="left"/>
      </w:pPr>
      <w:r>
        <w:t xml:space="preserve">Koenker, R. and Bassett, G., 1978. Regression quantiles. </w:t>
      </w:r>
      <w:r>
        <w:rPr>
          <w:i/>
        </w:rPr>
        <w:t>Econometrica</w:t>
      </w:r>
      <w:r>
        <w:t>, 46(1), pp.33–50. https://doi.org/10.2307/1913643</w:t>
      </w:r>
    </w:p>
    <w:p>
      <w:pPr>
        <w:spacing w:after="160" w:line="320" w:lineRule="auto"/>
        <w:ind w:left="567" w:hanging="567"/>
        <w:jc w:val="left"/>
      </w:pPr>
      <w:r>
        <w:t xml:space="preserve">Kupiec, P.H., 1995. Techniques for verifying the accuracy of risk measurement models. </w:t>
      </w:r>
      <w:r>
        <w:rPr>
          <w:i/>
        </w:rPr>
        <w:t>The Journal of Derivatives</w:t>
      </w:r>
      <w:r>
        <w:t>, 3(2), pp.73–84. https://doi.org/10.3905/jod.1995.407942</w:t>
      </w:r>
    </w:p>
    <w:p>
      <w:pPr>
        <w:spacing w:after="160" w:line="32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r>
        <w:t>https://doi.org/10.1098/rsta.2020.0209</w:t>
      </w:r>
    </w:p>
    <w:p>
      <w:pPr>
        <w:spacing w:after="160" w:line="32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pPr>
        <w:spacing w:after="160" w:line="320" w:lineRule="auto"/>
        <w:ind w:left="567" w:hanging="567"/>
        <w:jc w:val="left"/>
      </w:pPr>
      <w:r>
        <w:t xml:space="preserve">Liu, L.Y., Patton, A.J. and Sheppard, K., 2015. Does anything beat 5-minute RV? A comparison of realized measures across multiple asset classes. </w:t>
      </w:r>
      <w:r>
        <w:rPr>
          <w:i/>
        </w:rPr>
        <w:t>Journal of Econometrics</w:t>
      </w:r>
      <w:r>
        <w:t>, 187(1), pp.293–311. https://doi.org/10.1016/j.jeconom.2015.02.008</w:t>
      </w:r>
    </w:p>
    <w:p>
      <w:pPr>
        <w:spacing w:after="160" w:line="320" w:lineRule="auto"/>
        <w:ind w:left="567" w:hanging="567"/>
        <w:jc w:val="left"/>
      </w:pPr>
      <w:r>
        <w:t xml:space="preserve">Nelson, D.B., 1991. Conditional heteroskedasticity in asset returns: a new approach. </w:t>
      </w:r>
      <w:r>
        <w:rPr>
          <w:i/>
        </w:rPr>
        <w:t>Econometrica</w:t>
      </w:r>
      <w:r>
        <w:t>, 59(2), pp.347–370. https://doi.org/10.2307/2938260</w:t>
      </w:r>
    </w:p>
    <w:p>
      <w:pPr>
        <w:spacing w:after="160" w:line="320" w:lineRule="auto"/>
        <w:ind w:left="567" w:hanging="567"/>
        <w:jc w:val="left"/>
      </w:pPr>
      <w:r>
        <w:t xml:space="preserve">Newey, W.K. and West, K.D., 1987. A simple, positive semi-definite, heteroskedasticity and autocorrelation consistent covariance matrix. </w:t>
      </w:r>
      <w:r>
        <w:rPr>
          <w:i/>
        </w:rPr>
        <w:t>Econometrica</w:t>
      </w:r>
      <w:r>
        <w:t>, 55(3), pp.703–708. https://doi.org/10.2307/1913610</w:t>
      </w:r>
    </w:p>
    <w:p>
      <w:pPr>
        <w:spacing w:after="160" w:line="32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pPr>
        <w:spacing w:after="160" w:line="32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pPr>
        <w:spacing w:after="160" w:line="320" w:lineRule="auto"/>
        <w:ind w:left="567" w:hanging="567"/>
        <w:jc w:val="left"/>
      </w:pPr>
      <w:r>
        <w:t xml:space="preserve">Politis, D.N. and Romano, J.P., 1994. The stationary bootstrap. </w:t>
      </w:r>
      <w:r>
        <w:rPr>
          <w:i/>
        </w:rPr>
        <w:t>Journal of the American Statistical Association</w:t>
      </w:r>
      <w:r>
        <w:t>, 89(428), pp.1303–1313. https://doi.org/10.1080/01621459.1994.10476870</w:t>
      </w:r>
    </w:p>
    <w:p>
      <w:pPr>
        <w:spacing w:after="160" w:line="32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pPr>
        <w:spacing w:after="160" w:line="32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