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E4D5A" w14:textId="77777777" w:rsidR="00B56A91" w:rsidRDefault="00000000">
      <w:pPr>
        <w:pStyle w:val="Heading1"/>
      </w:pPr>
      <w:r>
        <w:t>Chapter 1: Introduction</w:t>
      </w:r>
    </w:p>
    <w:p w14:paraId="095A4127" w14:textId="77777777" w:rsidR="00B56A91" w:rsidRDefault="00000000">
      <w:pPr>
        <w:pStyle w:val="Heading2"/>
      </w:pPr>
      <w:r>
        <w:t>1.1 Context and Motivation</w:t>
      </w:r>
    </w:p>
    <w:p w14:paraId="66822545" w14:textId="0FC9E833" w:rsidR="00B56A91" w:rsidRDefault="00000000">
      <w:pPr>
        <w:spacing w:after="200" w:line="360" w:lineRule="auto"/>
        <w:jc w:val="both"/>
      </w:pPr>
      <w:r>
        <w:t>Financial markets are defined less by the steady drift of prices than by the irregular intensity with which those prices fluctuate. The collapse of Lehman Brothers in September 2008 wiped trillions of dollars from global equity markets within weeks (Brunnermeier,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w:t>
      </w:r>
      <w:r w:rsidR="00624C33">
        <w:t>, where</w:t>
      </w:r>
      <w:r>
        <w:t xml:space="preserve"> volatility is persistent, clustered, leptokurtic, and asymmetric in its response to negative shocks (Mandelbrot, 1963; Cont,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29DCB96F" w14:textId="77777777" w:rsidR="00B56A91" w:rsidRDefault="00000000">
      <w:pPr>
        <w:pStyle w:val="Heading2"/>
      </w:pPr>
      <w:r>
        <w:t>1.2 The Practical Stakes</w:t>
      </w:r>
    </w:p>
    <w:p w14:paraId="13C2AA59" w14:textId="3A6765FF" w:rsidR="00B56A91" w:rsidRDefault="00000000">
      <w:pPr>
        <w:spacing w:after="200" w:line="360" w:lineRule="auto"/>
        <w:jc w:val="both"/>
      </w:pPr>
      <w:r>
        <w:t>The practical and societal significance of volatility forecasting is therefore substantial. Risk managers depend on volatility estimates to size positions, allocate capital, and stress-test portfolios</w:t>
      </w:r>
      <w:r w:rsidR="00624C33">
        <w:t>, while</w:t>
      </w:r>
      <w:r>
        <w:t xml:space="preserve"> derivatives traders rely on them to price contingent claims and regulators use them to assess systemic stability under the Basel framework. Errors in these estimates are not academic</w:t>
      </w:r>
      <w:r w:rsidR="003852DF">
        <w:t xml:space="preserve">, </w:t>
      </w:r>
      <w:r>
        <w:t>underestimating volatility during a regime shift can leave institutions undercapitalised and contribute to the procyclical deleveraging that has historically amplified crises (Brunnermeier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2E0DD5B3" w14:textId="77777777" w:rsidR="00B56A91" w:rsidRDefault="00000000">
      <w:pPr>
        <w:pStyle w:val="Heading2"/>
      </w:pPr>
      <w:r>
        <w:t>1.3 Limitations of Existing Approaches</w:t>
      </w:r>
    </w:p>
    <w:p w14:paraId="63CC04CC" w14:textId="5A184698" w:rsidR="00B56A91" w:rsidRDefault="00000000">
      <w:pPr>
        <w:spacing w:after="200" w:line="360" w:lineRule="auto"/>
        <w:jc w:val="both"/>
      </w:pPr>
      <w:r>
        <w:t xml:space="preserve">The dominant econometric framework for conditional volatility, originating with the Autoregressive Conditional Heteroskedasticity (ARCH) model of Engle (1982) and its </w:t>
      </w:r>
      <w:r>
        <w:lastRenderedPageBreak/>
        <w:t>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w:t>
      </w:r>
      <w:r w:rsidR="00E746CC">
        <w:t>, where</w:t>
      </w:r>
      <w:r>
        <w:t xml:space="preserve"> they shift between distinct regimes characterised by different mean returns, volatility levels, and correlation structures (Hamilton, 1989), and a single GARCH specification calibrated across regimes tends to deteriorate precisely when forecasts matter most</w:t>
      </w:r>
      <w:r w:rsidR="007678FB">
        <w:t xml:space="preserve">, </w:t>
      </w:r>
      <w:r>
        <w:t>during transitions and crises (Poon and Granger, 2003).</w:t>
      </w:r>
    </w:p>
    <w:p w14:paraId="24E0FEF8" w14:textId="7100AC56" w:rsidR="00B56A91" w:rsidRDefault="00000000">
      <w:pPr>
        <w:spacing w:after="200" w:line="360" w:lineRule="auto"/>
        <w:jc w:val="both"/>
      </w:pPr>
      <w:r>
        <w:t>Deep learning offers a complementary route. Recurrent architectures, and in particular Long Short-Term Memory (LSTM) networks (Hochreiter and Schmidhuber, 1997), can capture non-linear, long-range temporal dependencies without imposing an explicit parametric form on the variance process. Hybrid and pure</w:t>
      </w:r>
      <w:r w:rsidR="007678FB">
        <w:t xml:space="preserve"> </w:t>
      </w:r>
      <w:r>
        <w:t>deep</w:t>
      </w:r>
      <w:r w:rsidR="007678FB">
        <w:t xml:space="preserve"> </w:t>
      </w:r>
      <w:r>
        <w:t>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w:t>
      </w:r>
      <w:r w:rsidR="007678FB">
        <w:t>,</w:t>
      </w:r>
      <w:r>
        <w:t xml:space="preserve"> an omission that is particularly damaging for downstream risk applications, where decision-making depends on the full predictive distribution rather than its mean (Gal and Ghahramani, 2016).</w:t>
      </w:r>
    </w:p>
    <w:p w14:paraId="66A24968" w14:textId="77777777" w:rsidR="00B56A91" w:rsidRDefault="00000000">
      <w:pPr>
        <w:pStyle w:val="Heading2"/>
      </w:pPr>
      <w:r>
        <w:t>1.4 Research Gap</w:t>
      </w:r>
    </w:p>
    <w:p w14:paraId="7AE70866" w14:textId="77777777" w:rsidR="00B56A91" w:rsidRDefault="0000000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0C3A274C" w14:textId="77777777" w:rsidR="00B56A91" w:rsidRDefault="00000000">
      <w:pPr>
        <w:pStyle w:val="Heading2"/>
      </w:pPr>
      <w:r>
        <w:t>1.5 Aim and Objectives</w:t>
      </w:r>
    </w:p>
    <w:p w14:paraId="2E023400" w14:textId="511B4D83" w:rsidR="00B56A91" w:rsidRDefault="00000000">
      <w:pPr>
        <w:spacing w:after="200" w:line="360" w:lineRule="auto"/>
        <w:jc w:val="both"/>
      </w:pPr>
      <w:r>
        <w:t xml:space="preserve">The aim of this research is to investigate whether regime-aware deep learning models endowed with uncertainty quantification can deliver more accurate and more reliable forecasts of realised equity-index volatility than either classical econometric models or standard deep learning baselines. To pursue this aim, four objectives are pursued: (i) to implement and </w:t>
      </w:r>
      <w:r>
        <w:lastRenderedPageBreak/>
        <w:t>benchmark econometric baselines, specifically GARCH(1,1) and</w:t>
      </w:r>
      <w:r w:rsidR="008F3ACA">
        <w:t xml:space="preserve"> </w:t>
      </w:r>
      <w:r>
        <w:t>EGARCH, on realised volatility constructed from daily log returns; (ii) to develop an LSTM baseline that uses identical inputs and forecast horizons, isolating the contribution of the deep architecture; (iii) to identify latent market regimes using probabilistic state-space methods, principally Hidden Markov Models, and to condition the deep model on the inferred state; and (iv) to integrate uncertainty quantification through Monte Carlo Dropout and quantile regression, evaluating both the sharpness and the calibration of the resulting predictive intervals.</w:t>
      </w:r>
    </w:p>
    <w:p w14:paraId="2591AFFB" w14:textId="77777777" w:rsidR="00B56A91" w:rsidRDefault="00000000">
      <w:pPr>
        <w:pStyle w:val="Heading2"/>
      </w:pPr>
      <w:r>
        <w:t>1.6 Research Questions</w:t>
      </w:r>
    </w:p>
    <w:p w14:paraId="6118EAB3" w14:textId="77777777" w:rsidR="00B56A91" w:rsidRDefault="0000000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GARCH-family baselines for daily realised volatility on major equity indices? </w:t>
      </w:r>
      <w:r>
        <w:rPr>
          <w:b/>
          <w:bCs/>
        </w:rPr>
        <w:t>RQ2:</w:t>
      </w:r>
      <w:r>
        <w:t xml:space="preserve"> Does explicit conditioning on latent market regimes improve forecast accuracy, particularly during high-volatility states? </w:t>
      </w:r>
      <w:r>
        <w:rPr>
          <w:b/>
          <w:bCs/>
        </w:rPr>
        <w:t>RQ3:</w:t>
      </w:r>
      <w:r>
        <w:t xml:space="preserve"> Do uncertainty-aware deep learning models yield prediction intervals whose empirical coverage matches their nominal level, and whose width adapts informatively to regime?</w:t>
      </w:r>
    </w:p>
    <w:p w14:paraId="13F0CFEA" w14:textId="77777777" w:rsidR="00B56A91" w:rsidRDefault="00000000">
      <w:pPr>
        <w:pStyle w:val="Heading2"/>
      </w:pPr>
      <w:r>
        <w:t>1.7 Methodological Overview</w:t>
      </w:r>
    </w:p>
    <w:p w14:paraId="1864F34A" w14:textId="35FCF9A3" w:rsidR="00B56A91" w:rsidRDefault="00000000">
      <w:pPr>
        <w:spacing w:after="200" w:line="360" w:lineRule="auto"/>
        <w:jc w:val="both"/>
      </w:pPr>
      <w:r>
        <w:t>Methodologically, the project combines econometric, deep learning, and probabilistic components within a unified comparative-evaluation design. Realised volatility is constructed from daily log returns via rolling windows</w:t>
      </w:r>
      <w:r w:rsidR="004F5B1B">
        <w:t>,</w:t>
      </w:r>
      <w:r>
        <w:t xml:space="preserve"> econometric and deep-learning models are trained under a strict time-ordered split with rolling out-of-sample evaluation to prevent look-ahead bias</w:t>
      </w:r>
      <w:r w:rsidR="004F5B1B">
        <w:t>,</w:t>
      </w:r>
      <w:r>
        <w:t xml:space="preserve"> regimes are inferred from observable market signals using a Gaussian-emission HMM and uncertainty is estimated using stochastic forward passes (MC Dropout) and quantile-based loss functions. Models are compared on point-forecast metrics (MSE, MAE, QLIKE) and, for uncertainty-aware variants, on coverage and interval score, with the Diebold–Mariano test used to assess statistical significance of pairwise differences.</w:t>
      </w:r>
    </w:p>
    <w:p w14:paraId="73D628F5" w14:textId="77777777" w:rsidR="00B56A91" w:rsidRDefault="00000000">
      <w:pPr>
        <w:pStyle w:val="Heading2"/>
      </w:pPr>
      <w:r>
        <w:t>1.8 Data</w:t>
      </w:r>
    </w:p>
    <w:p w14:paraId="79EE3F5A" w14:textId="77777777" w:rsidR="00B56A91" w:rsidRDefault="00000000">
      <w:pPr>
        <w:spacing w:after="200" w:line="360" w:lineRule="auto"/>
        <w:jc w:val="both"/>
      </w:pPr>
      <w:r>
        <w:t xml:space="preserve">The empirical analysis is conducted on daily data for the S&amp;P 500 (^GSPC) and the CBOE Volatility Index (^VIX) obtained from Yahoo Finance via the yfinance interface, supplemented where appropriate by individual large-cap equities. These series are widely used in both academic and industry settings, span multiple distinct market regimes including the 2008 crisis, </w:t>
      </w:r>
      <w:r>
        <w:lastRenderedPageBreak/>
        <w:t>the 2018 volatility shock, and the COVID-19 pandemic, and provide a transparent, fully reproducible foundation for the experiments that follow.</w:t>
      </w:r>
    </w:p>
    <w:p w14:paraId="440165BE" w14:textId="77777777" w:rsidR="00B56A91" w:rsidRDefault="00000000">
      <w:pPr>
        <w:pStyle w:val="Heading2"/>
      </w:pPr>
      <w:r>
        <w:t>1.9 Structure of the Dissertation</w:t>
      </w:r>
    </w:p>
    <w:p w14:paraId="04A90238" w14:textId="77777777" w:rsidR="00B56A91" w:rsidRDefault="0000000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62C6C9CD" w14:textId="77777777" w:rsidR="00B56A91" w:rsidRDefault="00000000">
      <w:pPr>
        <w:pStyle w:val="Heading1"/>
      </w:pPr>
      <w:r>
        <w:t>References</w:t>
      </w:r>
    </w:p>
    <w:p w14:paraId="7F38A4CC" w14:textId="77777777" w:rsidR="00B56A91" w:rsidRDefault="00000000">
      <w:pPr>
        <w:spacing w:after="140" w:line="320" w:lineRule="auto"/>
        <w:ind w:left="720" w:hanging="720"/>
      </w:pPr>
      <w:r>
        <w:t>Andersen, T.G., Bollerslev, T., Diebold, F.X. and Labys, P., 2003. Modeling and forecasting realized volatility. Econometrica, 71(2), pp.579–625. https://doi.org/10.1111/1468-0262.00418</w:t>
      </w:r>
    </w:p>
    <w:p w14:paraId="3B171275" w14:textId="77777777" w:rsidR="00B56A91" w:rsidRDefault="00000000">
      <w:pPr>
        <w:spacing w:after="140" w:line="320" w:lineRule="auto"/>
        <w:ind w:left="720" w:hanging="720"/>
      </w:pPr>
      <w:r>
        <w:t>Baker, S.R., Bloom, N., Davis, S.J. and Terry, S.J., 2020. COVID-induced economic uncertainty. NBER Working Paper No. 26983. National Bureau of Economic Research. https://doi.org/10.3386/w26983</w:t>
      </w:r>
    </w:p>
    <w:p w14:paraId="7F2BDF27" w14:textId="77777777" w:rsidR="00B56A91" w:rsidRDefault="00000000">
      <w:pPr>
        <w:spacing w:after="140" w:line="320" w:lineRule="auto"/>
        <w:ind w:left="720" w:hanging="720"/>
      </w:pPr>
      <w:r>
        <w:t>Bollerslev, T., 1986. Generalized autoregressive conditional heteroskedasticity. Journal of Econometrics, 31(3), pp.307–327. https://doi.org/10.1016/0304-4076(86)90063-1</w:t>
      </w:r>
    </w:p>
    <w:p w14:paraId="511CD467" w14:textId="77777777" w:rsidR="00B56A91" w:rsidRDefault="00000000">
      <w:pPr>
        <w:spacing w:after="140" w:line="320" w:lineRule="auto"/>
        <w:ind w:left="720" w:hanging="720"/>
      </w:pPr>
      <w:r>
        <w:t>Brunnermeier, M.K., 2009. Deciphering the liquidity and credit crunch 2007–2008. Journal of Economic Perspectives, 23(1), pp.77–100. https://doi.org/10.1257/jep.23.1.77</w:t>
      </w:r>
    </w:p>
    <w:p w14:paraId="5A0D495C" w14:textId="77777777" w:rsidR="00B56A91" w:rsidRDefault="00000000">
      <w:pPr>
        <w:spacing w:after="140" w:line="320" w:lineRule="auto"/>
        <w:ind w:left="720" w:hanging="720"/>
      </w:pPr>
      <w:r>
        <w:t>Brunnermeier, M.K. and Pedersen, L.H., 2009. Market liquidity and funding liquidity. Review of Financial Studies, 22(6), pp.2201–2238. https://doi.org/10.1093/rfs/hhn098</w:t>
      </w:r>
    </w:p>
    <w:p w14:paraId="4AC4355F" w14:textId="77777777" w:rsidR="00B56A91" w:rsidRDefault="00000000">
      <w:pPr>
        <w:spacing w:after="140" w:line="320" w:lineRule="auto"/>
        <w:ind w:left="720" w:hanging="720"/>
      </w:pPr>
      <w:r>
        <w:t>Bucci, A., 2020. Realized volatility forecasting with neural networks. Journal of Financial Econometrics, 18(3), pp.502–531. https://doi.org/10.1093/jjfinec/nbaa008</w:t>
      </w:r>
    </w:p>
    <w:p w14:paraId="64406D61" w14:textId="77777777" w:rsidR="00B56A91" w:rsidRDefault="00000000">
      <w:pPr>
        <w:spacing w:after="140" w:line="320" w:lineRule="auto"/>
        <w:ind w:left="720" w:hanging="720"/>
      </w:pPr>
      <w:r>
        <w:t>Cont, R., 2001. Empirical properties of asset returns: stylized facts and statistical issues. Quantitative Finance, 1(2), pp.223–236. https://doi.org/10.1080/713665670</w:t>
      </w:r>
    </w:p>
    <w:p w14:paraId="16B10359" w14:textId="77777777" w:rsidR="00B56A91" w:rsidRDefault="00000000">
      <w:pPr>
        <w:spacing w:after="140" w:line="320" w:lineRule="auto"/>
        <w:ind w:left="720" w:hanging="720"/>
      </w:pPr>
      <w:r>
        <w:lastRenderedPageBreak/>
        <w:t>Engle, R.F., 1982. Autoregressive conditional heteroscedasticity with estimates of the variance of United Kingdom inflation. Econometrica, 50(4), pp.987–1007. https://doi.org/10.2307/1912773</w:t>
      </w:r>
    </w:p>
    <w:p w14:paraId="1FDA3065" w14:textId="77777777" w:rsidR="00B56A91" w:rsidRDefault="00000000">
      <w:pPr>
        <w:spacing w:after="140" w:line="32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107F5BF9" w14:textId="77777777" w:rsidR="00B56A91" w:rsidRDefault="00000000">
      <w:pPr>
        <w:spacing w:after="140" w:line="320" w:lineRule="auto"/>
        <w:ind w:left="720" w:hanging="720"/>
      </w:pPr>
      <w:r>
        <w:t>Hamilton, J.D., 1989. A new approach to the economic analysis of nonstationary time series and the business cycle. Econometrica, 57(2), pp.357–384. https://doi.org/10.2307/1912559</w:t>
      </w:r>
    </w:p>
    <w:p w14:paraId="00F82BAA" w14:textId="77777777" w:rsidR="00B56A91" w:rsidRDefault="00000000">
      <w:pPr>
        <w:spacing w:after="140" w:line="320" w:lineRule="auto"/>
        <w:ind w:left="720" w:hanging="720"/>
      </w:pPr>
      <w:r>
        <w:t>Hochreiter, S. and Schmidhuber, J., 1997. Long short-term memory. Neural Computation, 9(8), pp.1735–1780. https://doi.org/10.1162/neco.1997.9.8.1735</w:t>
      </w:r>
    </w:p>
    <w:p w14:paraId="4BAFC1D1" w14:textId="77777777" w:rsidR="00B56A91" w:rsidRDefault="00000000">
      <w:pPr>
        <w:spacing w:after="140" w:line="32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30AB5D73" w14:textId="77777777" w:rsidR="00B56A91" w:rsidRDefault="00000000">
      <w:pPr>
        <w:spacing w:after="140" w:line="320" w:lineRule="auto"/>
        <w:ind w:left="720" w:hanging="720"/>
      </w:pPr>
      <w:r>
        <w:t>Mandelbrot, B., 1963. The variation of certain speculative prices. The Journal of Business, 36(4), pp.394–419. https://doi.org/10.1086/294632</w:t>
      </w:r>
    </w:p>
    <w:p w14:paraId="392CC0A5" w14:textId="77777777" w:rsidR="00B56A91" w:rsidRDefault="00000000">
      <w:pPr>
        <w:spacing w:after="140" w:line="320" w:lineRule="auto"/>
        <w:ind w:left="720" w:hanging="720"/>
      </w:pPr>
      <w:r>
        <w:t>Poon, S.-H. and Granger, C.W.J., 2003. Forecasting volatility in financial markets: a review. Journal of Economic Literature, 41(2), pp.478–539. https://doi.org/10.1257/.41.2.478</w:t>
      </w:r>
    </w:p>
    <w:sectPr w:rsidR="00B56A9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B72DA" w14:textId="77777777" w:rsidR="00523079" w:rsidRDefault="00523079">
      <w:r>
        <w:separator/>
      </w:r>
    </w:p>
  </w:endnote>
  <w:endnote w:type="continuationSeparator" w:id="0">
    <w:p w14:paraId="6EEC4027" w14:textId="77777777" w:rsidR="00523079" w:rsidRDefault="005230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A16A6" w14:textId="77777777" w:rsidR="00523079" w:rsidRDefault="00523079">
      <w:r>
        <w:separator/>
      </w:r>
    </w:p>
  </w:footnote>
  <w:footnote w:type="continuationSeparator" w:id="0">
    <w:p w14:paraId="45B4E547" w14:textId="77777777" w:rsidR="00523079" w:rsidRDefault="005230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624C33"/>
    <w:rsid w:val="007678FB"/>
    <w:rsid w:val="008F3ACA"/>
    <w:rsid w:val="00A6543D"/>
    <w:rsid w:val="00AE175F"/>
    <w:rsid w:val="00B56A91"/>
    <w:rsid w:val="00E51885"/>
    <w:rsid w:val="00E746CC"/>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1631</Words>
  <Characters>9303</Characters>
  <Application>Microsoft Office Word</Application>
  <DocSecurity>0</DocSecurity>
  <Lines>77</Lines>
  <Paragraphs>21</Paragraphs>
  <ScaleCrop>false</ScaleCrop>
  <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9</cp:revision>
  <dcterms:created xsi:type="dcterms:W3CDTF">2026-05-09T02:24:00Z</dcterms:created>
  <dcterms:modified xsi:type="dcterms:W3CDTF">2026-07-02T22:20:00Z</dcterms:modified>
</cp:coreProperties>
</file>