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This chapter specifies the method: the data it requires, how each component is built, how its parameters are chosen, and how forecasts are judged. It is written to be reproducible without sight of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The paradigm is a controlled comparative evaluation. Chapter 2 found the gap to be one of integration rather than invention, the econometric, regime-switching, deep-learning and uncertainty-quantification traditions having matured separately, so the object under test is the assembled pipeline rather than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scores.</w:t>
      </w:r>
    </w:p>
    <w:p>
      <w:pPr>
        <w:spacing w:after="160" w:line="320"/>
        <w:jc w:val="both"/>
      </w:pPr>
      <w:r>
        <w:rPr>
          <w:rFonts w:ascii="Calibri" w:cs="Calibri" w:eastAsia="Calibri" w:hAnsi="Calibri"/>
          <w:color w:val="111111"/>
          <w:sz w:val="22"/>
          <w:szCs w:val="22"/>
        </w:rPr>
        <w:t>Figure 3.1 shows the pipeline, Sections 3.2 to 3.7 taking its stages in order. The target is realised variance rather than realised volatility, every loss computed on the variance scale, and Table 3.1 fixes each model's role, Appendix A.1 the symbols used throughout, and Appendix A.2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Table 3.1  Model inventory: the role each model plays in the comparison. The terms in the left-hand column are used with these meanings in every subsequent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Figure 3.1. The forecasting pipeline. Solid arrows carry data; the dashed arrow carries the regime signal, estimated on the training window only. The bracket marks the stages produced on the anchored walk-forward; each estimation box states its own refit cadence, which differs by model family for the reasons given in Section 3.6.</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The method is specified against a data interface rather than a source: any series meeting the requirements below drives the pipeline unchanged, and Chapter 4 names the series used. The dependent variable is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Predictor requirements stay modest, the Section 3.4 comparison being interpretable only if every model draws on the same information set; Table 3.2 gives the interface. An auxiliary implied-volatility series must price options on the same market as the target, one from another market being a spillover experiment rather than a feature. Rows missing a required field are dropped, never imputed, the missing quantity being the object forecast.</w:t>
      </w:r>
    </w:p>
    <w:p>
      <w:pPr>
        <w:spacing w:after="90" w:before="200"/>
      </w:pPr>
      <w:r>
        <w:rPr>
          <w:rFonts w:ascii="Calibri" w:cs="Calibri" w:eastAsia="Calibri" w:hAnsi="Calibri"/>
          <w:b/>
          <w:bCs/>
          <w:color w:val="111111"/>
          <w:sz w:val="19"/>
          <w:szCs w:val="19"/>
        </w:rP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000"/>
        <w:gridCol w:w="228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28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Close-to-close return for the variance baselines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session-only measures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 matched to the target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the training, validation and test windows of Section 3.6. The horizon is one trading day: every forecast of day t draws only on information dated t−1 or earlier, and multi-step forecasting lies outside this design.</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 expectation-maximisation switches states faster than the data warrant (Nystrup, Lindström and Madsen, 2020). This design adopts their remedy of penalising switching directly, keeping the maximum-likelihood fit as the comparator.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z</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regime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the number of days in the estimation window,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c</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feature vector is deliberately minimal — the daily log return, standardised on training rows only — which is the simple Gaussian emission Chapter 2 §2.4 argues for.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the filtered posterior </w:t>
      </w:r>
      <w:r>
        <w:rPr>
          <w:rFonts w:ascii="Calibri" w:cs="Calibri" w:eastAsia="Calibri" w:hAnsi="Calibri"/>
          <w:i/>
          <w:iCs/>
          <w:color w:val="111111"/>
          <w:sz w:val="22"/>
          <w:szCs w:val="22"/>
        </w:rPr>
        <w:t xml:space="preserve">ξ</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z</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 z</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The state count is fixed rather than fitted: three states — calm, transitional and crisis — are set in advance on the interpretability grounds of Chapter 2 §2.4, a richer space diluting interpretation and inviting overfitting at this sample size. An information criterion over a small grid of candidate counts is reported as a sensitivity rather than used as the selector: the two estimators of this section need not agree on it, and letting a criterion decide the count once the downstream models exist would reopen every choice made conditional on it. Chapter 4 reports the grid, the criterion's values and where the estimators disagree.</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so the penalty cannot be tuned to the answer; a finer sweep is published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What varies across the models of Table 3.1 is the information each may use and the form each may take, one at a time. Three econometric baselines each close off a competing explanation, alongside a reference floor; Table 3.3 states what each rules out.</w:t>
      </w:r>
    </w:p>
    <w:p>
      <w:pPr>
        <w:spacing w:after="90" w:before="200"/>
      </w:pPr>
      <w:r>
        <w:rPr>
          <w:rFonts w:ascii="Calibri" w:cs="Calibri" w:eastAsia="Calibri" w:hAnsi="Calibri"/>
          <w:b/>
          <w:bCs/>
          <w:color w:val="111111"/>
          <w:sz w:val="19"/>
          <w:szCs w:val="19"/>
        </w:rPr>
        <w:t>Table 3.3  The baseline set and what each is there to rule out. The conditional-variance models take open-to-close returns,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Attention — the Transformer (Vaswani et al., 2017) and the Temporal Fusion Transformer (Lim et al., 2021) — was rejected on evidence rather than conservatism: it is data-hungry, precisely where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Two ablations vary that information set while holding the architecture fixed, because a win over HAR-RV would otherwise be unattributable. The first restricts the input to realised-volatility history alone, HAR-RV's own information source: whatever advantage survives is the architecture rather than the extra return. The match is on the source, not its construction — the network receives raw daily lags across its lookback window, HAR-RV daily, weekly and monthly aggregates reaching twenty-two days — so unless the selected window is at least that long the network works from less history, which makes it the more conservative control; Chapter 4 reports the window. The second adds an implied-volatility index, the auxiliary series of Table 3.2,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rPr>
          <w:rFonts w:ascii="Calibri" w:cs="Calibri" w:eastAsia="Calibri" w:hAnsi="Calibri"/>
          <w:color w:val="111111"/>
          <w:sz w:val="22"/>
          <w:szCs w:val="22"/>
        </w:rPr>
        <w:t xml:space="preserve">Two architectures condition that network on the regime signal, differing in where it enters. Regime as feature appends the lagged posterior to the input vector. A mixture of experts (Jacobs et al., 1991) trains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network's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the mixture returns,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k-th element of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t</w:t>
      </w:r>
      <w:r>
        <w:rPr>
          <w:rFonts w:ascii="Calibri" w:cs="Calibri" w:eastAsia="Calibri" w:hAnsi="Calibri"/>
          <w:color w:val="111111"/>
          <w:sz w:val="22"/>
          <w:szCs w:val="22"/>
        </w:rPr>
        <w:t xml:space="preserve"> is the variance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rPr>
          <w:rFonts w:ascii="Calibri" w:cs="Calibri" w:eastAsia="Calibri" w:hAnsi="Calibri"/>
          <w:color w:val="111111"/>
          <w:sz w:val="22"/>
          <w:szCs w:val="22"/>
        </w:rPr>
        <w:t>Appendix A.2 assembles the board these choices produce. Every model appearing in any later table is named there, with the information it may use and the single question its presence answers, so that no result is reported for a specification the reader has not been shown. Roles are those of Table 3.1; an ablation exists to attribute an effect rather than to compete, and a sensitivity is one forecast read a second way,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and the method adds uncertainty rather than a different forecast; only inference changes, the dropout staying active while the network runs </w:t>
      </w:r>
      <w:r>
        <w:rPr>
          <w:rFonts w:ascii="Calibri" w:cs="Calibri" w:eastAsia="Calibri" w:hAnsi="Calibri"/>
          <w:i/>
          <w:iCs/>
          <w:color w:val="111111"/>
          <w:sz w:val="22"/>
          <w:szCs w:val="22"/>
        </w:rPr>
        <w:t>B</w:t>
      </w:r>
      <w:r>
        <w:rPr>
          <w:rFonts w:ascii="Calibri" w:cs="Calibri" w:eastAsia="Calibri" w:hAnsi="Calibri"/>
          <w:color w:val="111111"/>
          <w:sz w:val="22"/>
          <w:szCs w:val="22"/>
        </w:rPr>
        <w:t xml:space="preserve"> stochastic passes. 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Reusing the point model also keeps the comparison clean: a difference in interval quality cannot be a difference in the forecaster.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B</w:t>
      </w:r>
      <w:r>
        <w:rPr>
          <w:rFonts w:ascii="Calibri" w:cs="Calibri" w:eastAsia="Calibri" w:hAnsi="Calibri"/>
          <w:color w:val="111111"/>
          <w:sz w:val="22"/>
          <w:szCs w:val="22"/>
        </w:rPr>
        <w:t xml:space="preserve"> is the number of stochastic passes,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total predictive variance, its first term the epistemic component,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p>
    <w:p>
      <w:pPr>
        <w:spacing w:after="160" w:line="320"/>
        <w:jc w:val="both"/>
      </w:pPr>
      <w:r>
        <w:rPr>
          <w:rFonts w:ascii="Calibri" w:cs="Calibri" w:eastAsia="Calibri" w:hAnsi="Calibri"/>
          <w:color w:val="111111"/>
          <w:sz w:val="22"/>
          <w:szCs w:val="22"/>
        </w:rPr>
        <w:t>The comparison method assumes no distribution: one network carries a multi-quantile head trained under the pinball loss (Koenker and Bassett, 1978), monotone by construction so quantiles cannot cross, and trained at the headline band's endpoints and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Appendix A.2. A third specification, LSTM-Gaussian in Appendix A.2, is the same network's deterministic forecast with an aleatoric-only interval, isolating what the passes buy. Hyperparameters stay at the Section 3.6 values.</w:t>
      </w:r>
    </w:p>
    <w:p>
      <w:pPr>
        <w:spacing w:after="160" w:line="320"/>
        <w:jc w:val="both"/>
      </w:pPr>
      <w:r>
        <w:rPr>
          <w:rFonts w:ascii="Calibri" w:cs="Calibri" w:eastAsia="Calibri" w:hAnsi="Calibri"/>
          <w:color w:val="111111"/>
          <w:sz w:val="22"/>
          <w:szCs w:val="22"/>
        </w:rPr>
        <w:t>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not the one with the best point estimate in any single state. The smaller states rest on few days, and the most extreme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none is taken on the test block. Over it the forecasts are produced on an anchored walk-forward, the estimation window growing from the start of the sample, which beats a fixed-length rolling window because regimes recur and discarding an early crisis would leave a model with no instance of the behaviour it most needs to have seen.</w:t>
      </w:r>
    </w:p>
    <w:p>
      <w:pPr>
        <w:spacing w:after="160" w:line="320" w:lineRule="auto"/>
        <w:jc w:val="both"/>
      </w:pPr>
      <w:r>
        <w:rPr>
          <w:rFonts w:ascii="Calibri" w:hAnsi="Calibri" w:cs="Calibri" w:eastAsia="Calibri"/>
          <w:color w:val="111111"/>
          <w:sz w:val="22"/>
        </w:rPr>
        <w:t>What that walk-forward re-estimates differs by model, by design. The econometric baselines are refitted on the expanding window at a fixed monthly cadence: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elsewhere — and with a single seed the second is not measurable, so the month-to-month variation could not be attributed to either.</w:t>
      </w:r>
    </w:p>
    <w:p>
      <w:pPr>
        <w:spacing w:after="160" w:line="320" w:lineRule="auto"/>
        <w:jc w:val="both"/>
      </w:pPr>
      <w:r>
        <w:rPr>
          <w:rFonts w:ascii="Calibri" w:hAnsi="Calibri" w:cs="Calibri" w:eastAsia="Calibri"/>
          <w:color w:val="111111"/>
          <w:sz w:val="22"/>
        </w:rPr>
        <w:t>Both protocols are leakage-free: no quantity entering a forecast for a given day was computed from that day or later. They are not symmetric,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from one whose training window has gone stale. Separating the two requires refitting the network at the baselines' cadence, a sensitivity this design admits rather than resolves and which Chapter 4 reports.</w:t>
      </w:r>
    </w:p>
    <w:p>
      <w:pPr>
        <w:spacing w:after="160" w:line="320" w:lineRule="auto"/>
        <w:jc w:val="both"/>
      </w:pPr>
      <w:r>
        <w:rPr>
          <w:rFonts w:ascii="Calibri" w:hAnsi="Calibri" w:cs="Calibri" w:eastAsia="Calibri"/>
          <w:color w:val="111111"/>
          <w:sz w:val="22"/>
        </w:rPr>
        <w:t>The regime model's estimation window is shorter still: it is fitted on the training block alone — not on all pre-test data, as the networks are — and its posterior is filtered forward without refitting. Those same rows carry a selection, the state count and jump penalty of Section 3.3 being chosen on training data, so re-estimating afterwards would either reopen that choice or freeze it against a fit it no longer describes. Holding the estimation and selection windows identical is the conservative reading, and it means the regime signal at any forecast origin was estimated from strictly less information than the network consuming it.</w:t>
      </w:r>
    </w:p>
    <w:p>
      <w:pPr>
        <w:spacing w:after="160" w:line="320"/>
        <w:jc w:val="both"/>
      </w:pPr>
      <w:r>
        <w:rPr>
          <w:rFonts w:ascii="Calibri" w:cs="Calibri" w:eastAsia="Calibri" w:hAnsi="Calibri"/>
          <w:color w:val="111111"/>
          <w:sz w:val="22"/>
          <w:szCs w:val="22"/>
        </w:rPr>
        <w:t>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 Appendix A.3 states the grid, what each hyperparameter controls, how it is selected and the expected effect of increasing it.</w:t>
      </w:r>
    </w:p>
    <w:p>
      <w:pPr>
        <w:spacing w:after="160" w:line="320"/>
        <w:jc w:val="both"/>
      </w:pPr>
      <w:r>
        <w:rPr>
          <w:rFonts w:ascii="Calibri" w:cs="Calibri" w:eastAsia="Calibri" w:hAnsi="Calibri"/>
          <w:color w:val="111111"/>
          <w:sz w:val="22"/>
          <w:szCs w:val="22"/>
        </w:rPr>
        <w:t>One unswept decision in Appendix A.3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Every model is scored on the same held-out block and dates, used once, so the losses are paired as the significance tests require. Table 3.4 lists the criteria and the question each answers; most are conventional and used conventionally, so they are named and cited rather than re-derived, while two depart from standard practice and are defined below. Every interval criterion is reported at 90% and 95%, with 90% the headline: it is the band the quantile head is trained to produce, so comparing methods at any other level would favour the parametric ones by construction.</w:t>
      </w:r>
    </w:p>
    <w:p>
      <w:pPr>
        <w:spacing w:after="90" w:before="200"/>
      </w:pPr>
      <w:r>
        <w:rPr>
          <w:rFonts w:ascii="Calibri" w:cs="Calibri" w:eastAsia="Calibri" w:hAnsi="Calibri"/>
          <w:b/>
          <w:bCs/>
          <w:color w:val="111111"/>
          <w:sz w:val="19"/>
          <w:szCs w:val="19"/>
        </w:rPr>
        <w:t>Table 3.4  Evaluation criteria and the question each answers. The two departing from standard practice are defined in Equations 3.6 and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 Eq. 3.6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Project-specific; Eq. 3.7, Holm (1979)</w:t>
            </w:r>
          </w:p>
        </w:tc>
      </w:tr>
    </w:tbl>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 xml:space="preserve">	(3.6)</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n</w:t>
      </w:r>
      <w:r>
        <w:rPr>
          <w:rFonts w:ascii="Calibri" w:cs="Calibri" w:eastAsia="Calibri" w:hAnsi="Calibri"/>
          <w:color w:val="111111"/>
          <w:sz w:val="22"/>
          <w:szCs w:val="22"/>
        </w:rPr>
        <w:t xml:space="preserve"> is the number of evaluated days, </w:t>
      </w:r>
      <w:r>
        <w:rPr>
          <w:rFonts w:ascii="Calibri" w:cs="Calibri" w:eastAsia="Calibri" w:hAnsi="Calibri"/>
          <w:i/>
          <w:iCs/>
          <w:color w:val="111111"/>
          <w:sz w:val="22"/>
          <w:szCs w:val="22"/>
        </w:rPr>
        <w:t>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both as defined above. QLIKE is more often written without the final two terms; this form subtracts its value at a perfect forecast, so the loss is zero when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 xml:space="preserve">	(3.7)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r>
      <w:r>
        <w:rPr>
          <w:rFonts w:ascii="Calibri" w:cs="Calibri" w:eastAsia="Calibri" w:hAnsi="Calibri"/>
          <w:i/>
          <w:iCs/>
          <w:color w:val="111111"/>
          <w:sz w:val="19"/>
          <w:szCs w:val="19"/>
          <w:vertAlign w:val="subscript"/>
        </w:rPr>
      </w:r>
      <w:r>
        <w:rPr>
          <w:rFonts w:ascii="Calibri" w:cs="Calibri" w:eastAsia="Calibri" w:hAnsi="Calibri"/>
          <w:color w:val="111111"/>
          <w:sz w:val="22"/>
          <w:szCs w:val="22"/>
        </w:rPr>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are the interval bounds,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rPr>
          <w:rFonts w:ascii="Calibri" w:cs="Calibri" w:eastAsia="Calibri" w:hAnsi="Calibri"/>
          <w:color w:val="111111"/>
          <w:sz w:val="22"/>
          <w:szCs w:val="22"/>
        </w:rPr>
        <w:t>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already carrying the level and the hit's own lags. The multiplicity family is fixed once rather than assembled per table — its dimensions are method, level and side, giving seven members, four differences in coverage and three incremental tests — so a count of rejections is read against that denominator, not against the number of rows displayed.</w:t>
      </w:r>
    </w:p>
    <w:p>
      <w:pPr>
        <w:spacing w:after="160" w:line="320"/>
        <w:jc w:val="both"/>
      </w:pPr>
      <w:r>
        <w:rPr>
          <w:rFonts w:ascii="Calibri" w:cs="Calibri" w:eastAsia="Calibri" w:hAnsi="Calibri"/>
          <w:color w:val="111111"/>
          <w:sz w:val="22"/>
          <w:szCs w:val="22"/>
        </w:rPr>
        <w:t>Two qualifications attach to the conditional predictive-ability test and are declared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the baselines, re-estimated on an expanding window, do not, so one side of every deep-versus-econometric pair sits outside the stated conditions. Its long-run covariance is also mean-centred, which makes the test mildly over-sized. Centring is retained because it is what the pairwise test uses, so the equivalence between the two at a single lag holds exactly, and Chapter 4 measures the effect against the uncentred statistic.</w:t>
      </w:r>
    </w:p>
    <w:p>
      <w:pPr>
        <w:spacing w:after="160" w:line="320"/>
        <w:jc w:val="both"/>
      </w:pPr>
      <w:r>
        <w:rPr>
          <w:rFonts w:ascii="Calibri" w:cs="Calibri" w:eastAsia="Calibri" w:hAnsi="Calibri"/>
          <w:color w:val="111111"/>
          <w:sz w:val="22"/>
          <w:szCs w:val="22"/>
        </w:rPr>
        <w:t>One criterion in Table 3.4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figures are compared across methods, and the closed form is quoted only within the parametric family.</w:t>
      </w:r>
    </w:p>
    <w:p>
      <w:pPr>
        <w:spacing w:after="160" w:line="320"/>
        <w:jc w:val="both"/>
      </w:pPr>
      <w:r>
        <w:rPr>
          <w:rFonts w:ascii="Calibri" w:cs="Calibri" w:eastAsia="Calibri" w:hAnsi="Calibri"/>
          <w:color w:val="111111"/>
          <w:sz w:val="22"/>
          <w:szCs w:val="22"/>
        </w:rPr>
        <w:t>One further quantity is reported alongside the interval criteria and is a measurement rather than a test. If multiplying a fitted predictive spread by a constant improves a proper score, the spread was wrong by about that factor, and the minimising constant measures how wrong in a units-free way that neither coverage nor width supplies alone. It is found by searching the evaluation window itself, so it describes the shortfall rather than correcting it: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Appendix A.4 states the minimum configuration, each requirement following from the architectures of Section 3.4.</w:t>
      </w:r>
    </w:p>
    <w:p>
      <w:pPr>
        <w:spacing w:after="160" w:line="320"/>
        <w:jc w:val="both"/>
      </w:pPr>
      <w:r>
        <w:rPr>
          <w:rFonts w:ascii="Calibri" w:cs="Calibri" w:eastAsia="Calibri" w:hAnsi="Calibri"/>
          <w:color w:val="111111"/>
          <w:sz w:val="22"/>
          <w:szCs w:val="22"/>
        </w:rPr>
        <w:t>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an error in the method.</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rPr>
          <w:rFonts w:ascii="Calibri" w:cs="Calibri" w:eastAsia="Calibri" w:hAnsi="Calibri"/>
          <w:color w:val="111111"/>
          <w:sz w:val="22"/>
          <w:szCs w:val="22"/>
        </w:rPr>
        <w:t xml:space="preserve">RQ4 asks whether the answers to RQ1–RQ3 are properties of the method or of the market it was developed on. It is answered on a deliberately reduced design, and the reduction is what makes it a check rather than a second study: the econometric baselines and the best-performing deep model only, on a target constructed identically, under the same losses and the same tests. Re-running the full board would multiply comparisons without adding evidence about transfer.</w:t>
      </w:r>
    </w:p>
    <w:p>
      <w:pPr>
        <w:spacing w:after="160" w:line="320"/>
        <w:jc w:val="both"/>
      </w:pPr>
      <w:r>
        <w:rPr>
          <w:rFonts w:ascii="Calibri" w:cs="Calibri" w:eastAsia="Calibri" w:hAnsi="Calibri"/>
          <w:color w:val="111111"/>
          <w:sz w:val="22"/>
          <w:szCs w:val="22"/>
        </w:rPr>
        <w:t>Three requirements make that check meaningful rather than mechanical. The regime model is re-estimated on each asset rather than carried across, a state path fitted to one market's return distribution not being a description of another's; transferring it would test the map rather than the method. The auxiliary implied-volatility input is dropped wherever the available index prices options on a different market, since that would be a spillover experiment rather than the feature ablation of Section 3.4 — a requirement Table 3.2 already places on the input series. And the modelling frame is assembled by an inner join across sources, so an asset trading on a different exchange calendar yields a different sample; the rows lost to that join are reported rather than absorbed silently.</w:t>
      </w:r>
    </w:p>
    <w:p>
      <w:pPr>
        <w:spacing w:after="160" w:line="320"/>
        <w:jc w:val="both"/>
      </w:pPr>
      <w:r>
        <w:rPr>
          <w:rFonts w:ascii="Calibri" w:cs="Calibri" w:eastAsia="Calibri" w:hAnsi="Calibri"/>
          <w:color w:val="111111"/>
          <w:sz w:val="22"/>
          <w:szCs w:val="22"/>
        </w:rPr>
        <w:t>What the design can establish is bounded, and the bound is worth stating before any result is read. Agreement across markets is evidence that a finding is not an artefact of one series. Disagreement identifies a finding as market-specific without saying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rPr>
          <w:rFonts w:ascii="Calibri" w:cs="Calibri" w:eastAsia="Calibri" w:hAnsi="Calibri"/>
          <w:color w:val="111111"/>
          <w:sz w:val="22"/>
          <w:szCs w:val="22"/>
        </w:rPr>
        <w:t>A design is only as credible as its account of what could undermine it. Table 3.5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pStyle w:val="Heading2"/>
        <w:spacing w:after="180" w:before="320"/>
      </w:pPr>
      <w:r>
        <w:rPr>
          <w:rFonts w:ascii="Calibri" w:cs="Calibri" w:eastAsia="Calibri" w:hAnsi="Calibri"/>
          <w:b/>
          <w:bCs/>
          <w:color w:val="111111"/>
          <w:sz w:val="26"/>
          <w:szCs w:val="26"/>
        </w:rPr>
        <w:t xml:space="preserve">3.11  Chapter Summary</w:t>
      </w:r>
    </w:p>
    <w:p>
      <w:pPr>
        <w:spacing w:after="160" w:line="320"/>
        <w:jc w:val="both"/>
      </w:pPr>
      <w:r>
        <w:rPr>
          <w:rFonts w:ascii="Calibri" w:cs="Calibri" w:eastAsia="Calibri" w:hAnsi="Calibri"/>
          <w:color w:val="111111"/>
          <w:sz w:val="22"/>
          <w:szCs w:val="22"/>
        </w:rPr>
        <w:t>This chapter has specified a controlled comparative evaluation in which one component varies at a time: Section 3.2 fixes the data interface and the realised-variance target, Section 3.3 the causal jump-penalised regime signal, Section 3.4 the model specifications that turn each research question into a contrast, Section 3.5 the two uncertainty layers, Section 3.6 the leakage-free training protocol, and Section 3.7 the losses and tests. Each research question maps to specific evidence: RQ1 to the QLIKE ranking with its Diebold–Mariano tests and the Model Confidence Set; RQ2 to the Giacomini–White test of conditional predictive ability and the per-state breakdown; RQ3 to coverage, width, the proper scores and the interval backtests; and RQ4 to the reduced replication of Section 3.9. Section 3.10 states what none of it can establish. Chapter 4 reports the values these procedures return.</w:t>
      </w:r>
    </w:p>
    <w:p>
      <w:pPr>
        <w:pStyle w:val="Heading1"/>
        <w:spacing w:before="320" w:after="180"/>
      </w:pPr>
      <w:r>
        <w:rPr>
          <w:rFonts w:ascii="Calibri" w:hAnsi="Calibri"/>
          <w:b/>
        </w:rPr>
        <w:t>References</w:t>
      </w:r>
    </w:p>
    <w:p>
      <w:pPr>
        <w:spacing w:after="160" w:line="320" w:lineRule="auto"/>
        <w:ind w:left="567" w:hanging="567"/>
        <w:jc w:val="left"/>
      </w:pPr>
      <w:r>
        <w:rPr>
          <w:rFonts w:ascii="Calibri" w:hAnsi="Calibri" w:cs="Calibri" w:eastAsia="Calibri"/>
          <w:color w:val="111111"/>
          <w:sz w:val="22"/>
        </w:rPr>
        <w:t xml:space="preserve">Andersen, T.G., Bollerslev, T., Diebold, F.X. and Labys, P., 2003. Modeling and forecasting realized volatility. </w:t>
      </w:r>
      <w:r>
        <w:rPr>
          <w:rFonts w:ascii="Calibri" w:hAnsi="Calibri" w:cs="Calibri" w:eastAsia="Calibri"/>
          <w:i/>
          <w:color w:val="111111"/>
          <w:sz w:val="22"/>
        </w:rPr>
        <w:t>Econometrica</w:t>
      </w:r>
      <w:r>
        <w:rPr>
          <w:rFonts w:ascii="Calibri" w:hAnsi="Calibri" w:cs="Calibri" w:eastAsia="Calibri"/>
          <w:color w:val="111111"/>
          <w:sz w:val="22"/>
        </w:rPr>
        <w:t>, 71(2), pp.579–625. https://doi.org/10.1111/1468-0262.00418</w:t>
      </w:r>
    </w:p>
    <w:p>
      <w:pPr>
        <w:spacing w:after="160" w:line="320" w:lineRule="auto"/>
        <w:ind w:left="567" w:hanging="567"/>
        <w:jc w:val="left"/>
      </w:pPr>
      <w:r>
        <w:rPr>
          <w:rFonts w:ascii="Calibri" w:hAnsi="Calibri" w:cs="Calibri" w:eastAsia="Calibri"/>
          <w:color w:val="111111"/>
          <w:sz w:val="22"/>
        </w:rPr>
        <w:t xml:space="preserve">Bergstra, J. and Bengio, Y., 2012. Random search for hyper-parameter optimization. </w:t>
      </w:r>
      <w:r>
        <w:rPr>
          <w:rFonts w:ascii="Calibri" w:hAnsi="Calibri" w:cs="Calibri" w:eastAsia="Calibri"/>
          <w:i/>
          <w:color w:val="111111"/>
          <w:sz w:val="22"/>
        </w:rPr>
        <w:t>Journal of Machine Learning Research</w:t>
      </w:r>
      <w:r>
        <w:rPr>
          <w:rFonts w:ascii="Calibri" w:hAnsi="Calibri" w:cs="Calibri" w:eastAsia="Calibri"/>
          <w:color w:val="111111"/>
          <w:sz w:val="22"/>
        </w:rPr>
        <w:t>, 13(10), pp.281–305. https://jmlr.org/papers/v13/bergstra12a.html</w:t>
      </w:r>
    </w:p>
    <w:p>
      <w:pPr>
        <w:spacing w:after="160" w:line="320" w:lineRule="auto"/>
        <w:ind w:left="567" w:hanging="567"/>
        <w:jc w:val="left"/>
      </w:pPr>
      <w:r>
        <w:rPr>
          <w:rFonts w:ascii="Calibri" w:hAnsi="Calibri" w:cs="Calibri" w:eastAsia="Calibri"/>
          <w:color w:val="111111"/>
          <w:sz w:val="22"/>
        </w:rPr>
        <w:t xml:space="preserve">Bollerslev, T., 1986. Generalized autoregressive conditional heteroskedasticity. </w:t>
      </w:r>
      <w:r>
        <w:rPr>
          <w:rFonts w:ascii="Calibri" w:hAnsi="Calibri" w:cs="Calibri" w:eastAsia="Calibri"/>
          <w:i/>
          <w:color w:val="111111"/>
          <w:sz w:val="22"/>
        </w:rPr>
        <w:t>Journal of Econometrics</w:t>
      </w:r>
      <w:r>
        <w:rPr>
          <w:rFonts w:ascii="Calibri" w:hAnsi="Calibri" w:cs="Calibri" w:eastAsia="Calibri"/>
          <w:color w:val="111111"/>
          <w:sz w:val="22"/>
        </w:rPr>
        <w:t>, 31(3), pp.307–327. https://doi.org/10.1016/0304-4076(86)90063-1</w:t>
      </w:r>
    </w:p>
    <w:p>
      <w:pPr>
        <w:spacing w:after="160" w:line="320" w:lineRule="auto"/>
        <w:ind w:left="567" w:hanging="567"/>
        <w:jc w:val="left"/>
      </w:pPr>
      <w:r>
        <w:rPr>
          <w:rFonts w:ascii="Calibri" w:hAnsi="Calibri" w:cs="Calibri" w:eastAsia="Calibri"/>
          <w:color w:val="111111"/>
          <w:sz w:val="22"/>
        </w:rPr>
        <w:t xml:space="preserve">Christoffersen, P.F., 1998. Evaluating interval forecasts. </w:t>
      </w:r>
      <w:r>
        <w:rPr>
          <w:rFonts w:ascii="Calibri" w:hAnsi="Calibri" w:cs="Calibri" w:eastAsia="Calibri"/>
          <w:i/>
          <w:color w:val="111111"/>
          <w:sz w:val="22"/>
        </w:rPr>
        <w:t>International Economic Review</w:t>
      </w:r>
      <w:r>
        <w:rPr>
          <w:rFonts w:ascii="Calibri" w:hAnsi="Calibri" w:cs="Calibri" w:eastAsia="Calibri"/>
          <w:color w:val="111111"/>
          <w:sz w:val="22"/>
        </w:rPr>
        <w:t>, 39(4), pp.841–862. https://doi.org/10.2307/2527341</w:t>
      </w:r>
    </w:p>
    <w:p>
      <w:pPr>
        <w:spacing w:after="160" w:line="320" w:lineRule="auto"/>
        <w:ind w:left="567" w:hanging="567"/>
        <w:jc w:val="left"/>
      </w:pPr>
      <w:r>
        <w:rPr>
          <w:rFonts w:ascii="Calibri" w:hAnsi="Calibri" w:cs="Calibri" w:eastAsia="Calibri"/>
          <w:color w:val="111111"/>
          <w:sz w:val="22"/>
        </w:rPr>
        <w:t xml:space="preserve">Corsi, F., 2009. A simple approximate long-memory model of realized volatility. </w:t>
      </w:r>
      <w:r>
        <w:rPr>
          <w:rFonts w:ascii="Calibri" w:hAnsi="Calibri" w:cs="Calibri" w:eastAsia="Calibri"/>
          <w:i/>
          <w:color w:val="111111"/>
          <w:sz w:val="22"/>
        </w:rPr>
        <w:t>Journal of Financial Econometrics</w:t>
      </w:r>
      <w:r>
        <w:rPr>
          <w:rFonts w:ascii="Calibri" w:hAnsi="Calibri" w:cs="Calibri" w:eastAsia="Calibri"/>
          <w:color w:val="111111"/>
          <w:sz w:val="22"/>
        </w:rPr>
        <w:t>, 7(2), pp.174–196. https://doi.org/10.1093/jjfinec/nbp001</w:t>
      </w:r>
    </w:p>
    <w:p>
      <w:pPr>
        <w:spacing w:after="160" w:line="320" w:lineRule="auto"/>
        <w:ind w:left="567" w:hanging="567"/>
        <w:jc w:val="left"/>
      </w:pPr>
      <w:r>
        <w:rPr>
          <w:rFonts w:ascii="Calibri" w:hAnsi="Calibri" w:cs="Calibri" w:eastAsia="Calibri"/>
          <w:color w:val="111111"/>
          <w:sz w:val="22"/>
        </w:rPr>
        <w:t xml:space="preserve">Diebold, F.X. and Mariano, R.S., 1995. Comparing predictive accuracy. </w:t>
      </w:r>
      <w:r>
        <w:rPr>
          <w:rFonts w:ascii="Calibri" w:hAnsi="Calibri" w:cs="Calibri" w:eastAsia="Calibri"/>
          <w:i/>
          <w:color w:val="111111"/>
          <w:sz w:val="22"/>
        </w:rPr>
        <w:t>Journal of Business &amp; Economic Statistics</w:t>
      </w:r>
      <w:r>
        <w:rPr>
          <w:rFonts w:ascii="Calibri" w:hAnsi="Calibri" w:cs="Calibri" w:eastAsia="Calibri"/>
          <w:color w:val="111111"/>
          <w:sz w:val="22"/>
        </w:rPr>
        <w:t>, 13(3), pp.253–263. https://doi.org/10.1080/07350015.1995.10524599</w:t>
      </w:r>
    </w:p>
    <w:p>
      <w:pPr>
        <w:spacing w:after="160" w:line="320" w:lineRule="auto"/>
        <w:ind w:left="567" w:hanging="567"/>
        <w:jc w:val="left"/>
      </w:pPr>
      <w:r>
        <w:rPr>
          <w:rFonts w:ascii="Calibri" w:hAnsi="Calibri" w:cs="Calibri" w:eastAsia="Calibri"/>
          <w:color w:val="111111"/>
          <w:sz w:val="22"/>
        </w:rPr>
        <w:t xml:space="preserve">Duan, N., 1983. Smearing estimate: a nonparametric retransformation method.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78(383), pp.605–610. https://doi.org/10.1080/01621459.1983.10478017</w:t>
      </w:r>
    </w:p>
    <w:p>
      <w:pPr>
        <w:spacing w:after="160" w:line="320" w:lineRule="auto"/>
        <w:ind w:left="567" w:hanging="567"/>
        <w:jc w:val="left"/>
      </w:pPr>
      <w:r>
        <w:rPr>
          <w:rFonts w:ascii="Calibri" w:hAnsi="Calibri" w:cs="Calibri" w:eastAsia="Calibri"/>
          <w:color w:val="111111"/>
          <w:sz w:val="22"/>
        </w:rPr>
        <w:t xml:space="preserve">Engle, R.F. and Manganelli, S., 2004. CAViaR: conditional autoregressive value at risk by regression quantiles. </w:t>
      </w:r>
      <w:r>
        <w:rPr>
          <w:rFonts w:ascii="Calibri" w:hAnsi="Calibri" w:cs="Calibri" w:eastAsia="Calibri"/>
          <w:i/>
          <w:color w:val="111111"/>
          <w:sz w:val="22"/>
        </w:rPr>
        <w:t>Journal of Business &amp; Economic Statistics</w:t>
      </w:r>
      <w:r>
        <w:rPr>
          <w:rFonts w:ascii="Calibri" w:hAnsi="Calibri" w:cs="Calibri" w:eastAsia="Calibri"/>
          <w:color w:val="111111"/>
          <w:sz w:val="22"/>
        </w:rPr>
        <w:t>, 22(4), pp.367–381. https://doi.org/10.1198/073500104000000370</w:t>
      </w:r>
    </w:p>
    <w:p>
      <w:pPr>
        <w:spacing w:after="160" w:line="320" w:lineRule="auto"/>
        <w:ind w:left="567" w:hanging="567"/>
        <w:jc w:val="left"/>
      </w:pPr>
      <w:r>
        <w:rPr>
          <w:rFonts w:ascii="Calibri" w:hAnsi="Calibri" w:cs="Calibri" w:eastAsia="Calibri"/>
          <w:color w:val="111111"/>
          <w:sz w:val="22"/>
        </w:rPr>
        <w:t xml:space="preserve">Gal, Y. and Ghahramani, Z., 2016. Dropout as a Bayesian approximation: representing model uncertainty in deep learning. In: </w:t>
      </w:r>
      <w:r>
        <w:rPr>
          <w:rFonts w:ascii="Calibri" w:hAnsi="Calibri" w:cs="Calibri" w:eastAsia="Calibri"/>
          <w:i/>
          <w:color w:val="111111"/>
          <w:sz w:val="22"/>
        </w:rPr>
        <w:t>Proceedings of the 33rd International Conference on Machine Learning (ICML)</w:t>
      </w:r>
      <w:r>
        <w:rPr>
          <w:rFonts w:ascii="Calibri" w:hAnsi="Calibri" w:cs="Calibri" w:eastAsia="Calibri"/>
          <w:color w:val="111111"/>
          <w:sz w:val="22"/>
        </w:rPr>
        <w:t>, New York, USA, 19–24 June 2016. PMLR 48, pp.1050–1059.</w:t>
      </w:r>
    </w:p>
    <w:p>
      <w:pPr>
        <w:spacing w:after="160" w:line="320" w:lineRule="auto"/>
        <w:ind w:left="567" w:hanging="567"/>
        <w:jc w:val="left"/>
      </w:pPr>
      <w:r>
        <w:rPr>
          <w:rFonts w:ascii="Calibri" w:hAnsi="Calibri" w:cs="Calibri" w:eastAsia="Calibri"/>
          <w:color w:val="111111"/>
          <w:sz w:val="22"/>
        </w:rPr>
        <w:t xml:space="preserve">Giacomini, R. and White, H., 2006. Tests of conditional predictive ability. </w:t>
      </w:r>
      <w:r>
        <w:rPr>
          <w:rFonts w:ascii="Calibri" w:hAnsi="Calibri" w:cs="Calibri" w:eastAsia="Calibri"/>
          <w:i/>
          <w:color w:val="111111"/>
          <w:sz w:val="22"/>
        </w:rPr>
        <w:t>Econometrica</w:t>
      </w:r>
      <w:r>
        <w:rPr>
          <w:rFonts w:ascii="Calibri" w:hAnsi="Calibri" w:cs="Calibri" w:eastAsia="Calibri"/>
          <w:color w:val="111111"/>
          <w:sz w:val="22"/>
        </w:rPr>
        <w:t>, 74(6), pp.1545–1578. https://doi.org/10.1111/j.1468-0262.2006.00718.x</w:t>
      </w:r>
    </w:p>
    <w:p>
      <w:pPr>
        <w:spacing w:after="160" w:line="320" w:lineRule="auto"/>
        <w:ind w:left="567" w:hanging="567"/>
        <w:jc w:val="left"/>
      </w:pPr>
      <w:r>
        <w:rPr>
          <w:rFonts w:ascii="Calibri" w:hAnsi="Calibri" w:cs="Calibri" w:eastAsia="Calibri"/>
          <w:color w:val="111111"/>
          <w:sz w:val="22"/>
        </w:rPr>
        <w:t xml:space="preserve">Gneiting, T. and Raftery, A.E., 2007. Strictly proper scoring rules, prediction, and estimation.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xml:space="preserve">, 102(477), pp.359–378. </w:t>
      </w:r>
      <w:r>
        <w:rPr>
          <w:rFonts w:ascii="Calibri" w:hAnsi="Calibri" w:cs="Calibri" w:eastAsia="Calibri"/>
          <w:color w:val="111111"/>
          <w:sz w:val="22"/>
        </w:rPr>
        <w:t>https://doi.org/10.1198/016214506000001437</w:t>
      </w:r>
    </w:p>
    <w:p>
      <w:pPr>
        <w:spacing w:after="160" w:line="320" w:lineRule="auto"/>
        <w:ind w:left="567" w:hanging="567"/>
        <w:jc w:val="left"/>
      </w:pPr>
      <w:r>
        <w:rPr>
          <w:rFonts w:ascii="Calibri" w:hAnsi="Calibri" w:cs="Calibri" w:eastAsia="Calibri"/>
          <w:color w:val="111111"/>
          <w:sz w:val="22"/>
        </w:rPr>
        <w:t xml:space="preserve">Hamilton, J.D., 1989. A new approach to the economic analysis of nonstationary time series and the business cycle. </w:t>
      </w:r>
      <w:r>
        <w:rPr>
          <w:rFonts w:ascii="Calibri" w:hAnsi="Calibri" w:cs="Calibri" w:eastAsia="Calibri"/>
          <w:i/>
          <w:color w:val="111111"/>
          <w:sz w:val="22"/>
        </w:rPr>
        <w:t>Econometrica</w:t>
      </w:r>
      <w:r>
        <w:rPr>
          <w:rFonts w:ascii="Calibri" w:hAnsi="Calibri" w:cs="Calibri" w:eastAsia="Calibri"/>
          <w:color w:val="111111"/>
          <w:sz w:val="22"/>
        </w:rPr>
        <w:t>, 57(2), pp.357–384. https://doi.org/10.2307/1912559</w:t>
      </w:r>
    </w:p>
    <w:p>
      <w:pPr>
        <w:spacing w:after="160" w:line="320" w:lineRule="auto"/>
        <w:ind w:left="567" w:hanging="567"/>
        <w:jc w:val="left"/>
      </w:pPr>
      <w:r>
        <w:rPr>
          <w:rFonts w:ascii="Calibri" w:hAnsi="Calibri" w:cs="Calibri" w:eastAsia="Calibri"/>
          <w:color w:val="111111"/>
          <w:sz w:val="22"/>
        </w:rPr>
        <w:t xml:space="preserve">Hansen, P.R., Lunde, A. and Nason, J.M., 2011. The model confidence set. </w:t>
      </w:r>
      <w:r>
        <w:rPr>
          <w:rFonts w:ascii="Calibri" w:hAnsi="Calibri" w:cs="Calibri" w:eastAsia="Calibri"/>
          <w:i/>
          <w:color w:val="111111"/>
          <w:sz w:val="22"/>
        </w:rPr>
        <w:t>Econometrica</w:t>
      </w:r>
      <w:r>
        <w:rPr>
          <w:rFonts w:ascii="Calibri" w:hAnsi="Calibri" w:cs="Calibri" w:eastAsia="Calibri"/>
          <w:color w:val="111111"/>
          <w:sz w:val="22"/>
        </w:rPr>
        <w:t>, 79(2), pp.453–497. https://doi.org/10.3982/ECTA5771</w:t>
      </w:r>
    </w:p>
    <w:p>
      <w:pPr>
        <w:spacing w:after="160" w:line="320" w:lineRule="auto"/>
        <w:ind w:left="567" w:hanging="567"/>
        <w:jc w:val="left"/>
      </w:pPr>
      <w:r>
        <w:rPr>
          <w:rFonts w:ascii="Calibri" w:hAnsi="Calibri" w:cs="Calibri" w:eastAsia="Calibri"/>
          <w:color w:val="111111"/>
          <w:sz w:val="22"/>
        </w:rPr>
        <w:t xml:space="preserve">Harvey, D., Leybourne, S. and Newbold, P., 1997. Testing the equality of prediction mean squared errors. </w:t>
      </w:r>
      <w:r>
        <w:rPr>
          <w:rFonts w:ascii="Calibri" w:hAnsi="Calibri" w:cs="Calibri" w:eastAsia="Calibri"/>
          <w:i/>
          <w:color w:val="111111"/>
          <w:sz w:val="22"/>
        </w:rPr>
        <w:t>International Journal of Forecasting</w:t>
      </w:r>
      <w:r>
        <w:rPr>
          <w:rFonts w:ascii="Calibri" w:hAnsi="Calibri" w:cs="Calibri" w:eastAsia="Calibri"/>
          <w:color w:val="111111"/>
          <w:sz w:val="22"/>
        </w:rPr>
        <w:t>, 13(2), pp.281–291. https://doi.org/10.1016/S0169-2070(96)00719-4</w:t>
      </w:r>
    </w:p>
    <w:p>
      <w:pPr>
        <w:spacing w:after="160" w:line="320" w:lineRule="auto"/>
        <w:ind w:left="567" w:hanging="567"/>
        <w:jc w:val="left"/>
      </w:pPr>
      <w:r>
        <w:rPr>
          <w:rFonts w:ascii="Calibri" w:hAnsi="Calibri" w:cs="Calibri" w:eastAsia="Calibri"/>
          <w:color w:val="111111"/>
          <w:sz w:val="22"/>
        </w:rPr>
        <w:t xml:space="preserve">Hochreiter, S. and Schmidhuber, J., 1997. </w:t>
      </w:r>
      <w:r>
        <w:rPr>
          <w:rFonts w:ascii="Calibri" w:hAnsi="Calibri" w:cs="Calibri" w:eastAsia="Calibri"/>
          <w:color w:val="111111"/>
          <w:sz w:val="22"/>
        </w:rPr>
        <w:t xml:space="preserve">Long short-term memory. </w:t>
      </w:r>
      <w:r>
        <w:rPr>
          <w:rFonts w:ascii="Calibri" w:hAnsi="Calibri" w:cs="Calibri" w:eastAsia="Calibri"/>
          <w:i/>
          <w:color w:val="111111"/>
          <w:sz w:val="22"/>
        </w:rPr>
        <w:t>Neural Computation</w:t>
      </w:r>
      <w:r>
        <w:rPr>
          <w:rFonts w:ascii="Calibri" w:hAnsi="Calibri" w:cs="Calibri" w:eastAsia="Calibri"/>
          <w:color w:val="111111"/>
          <w:sz w:val="22"/>
        </w:rPr>
        <w:t>, 9(8), pp.1735–1780. https://doi.org/10.1162/neco.1997.9.8.1735</w:t>
      </w:r>
    </w:p>
    <w:p>
      <w:pPr>
        <w:spacing w:after="160" w:line="320" w:lineRule="auto"/>
        <w:ind w:left="567" w:hanging="567"/>
        <w:jc w:val="left"/>
      </w:pPr>
      <w:r>
        <w:rPr>
          <w:rFonts w:ascii="Calibri" w:hAnsi="Calibri" w:cs="Calibri" w:eastAsia="Calibri"/>
          <w:color w:val="111111"/>
          <w:sz w:val="22"/>
        </w:rPr>
        <w:t xml:space="preserve">Holm, S., 1979. A simple sequentially rejective multiple test procedure. </w:t>
      </w:r>
      <w:r>
        <w:rPr>
          <w:rFonts w:ascii="Calibri" w:hAnsi="Calibri" w:cs="Calibri" w:eastAsia="Calibri"/>
          <w:i/>
          <w:color w:val="111111"/>
          <w:sz w:val="22"/>
        </w:rPr>
        <w:t>Scandinavian Journal of Statistics</w:t>
      </w:r>
      <w:r>
        <w:rPr>
          <w:rFonts w:ascii="Calibri" w:hAnsi="Calibri" w:cs="Calibri" w:eastAsia="Calibri"/>
          <w:color w:val="111111"/>
          <w:sz w:val="22"/>
        </w:rPr>
        <w:t>, 6(2), pp.65–70.</w:t>
      </w:r>
    </w:p>
    <w:p>
      <w:pPr>
        <w:spacing w:after="160" w:line="320" w:lineRule="auto"/>
        <w:ind w:left="567" w:hanging="567"/>
        <w:jc w:val="left"/>
      </w:pPr>
      <w:r>
        <w:rPr>
          <w:rFonts w:ascii="Calibri" w:hAnsi="Calibri" w:cs="Calibri" w:eastAsia="Calibri"/>
          <w:color w:val="111111"/>
          <w:sz w:val="22"/>
        </w:rPr>
        <w:t xml:space="preserve">Jacobs, R.A., Jordan, M.I., Nowlan, S.J. and Hinton, G.E., 1991. Adaptive mixtures of local experts. </w:t>
      </w:r>
      <w:r>
        <w:rPr>
          <w:rFonts w:ascii="Calibri" w:hAnsi="Calibri" w:cs="Calibri" w:eastAsia="Calibri"/>
          <w:i/>
          <w:color w:val="111111"/>
          <w:sz w:val="22"/>
        </w:rPr>
        <w:t>Neural Computation</w:t>
      </w:r>
      <w:r>
        <w:rPr>
          <w:rFonts w:ascii="Calibri" w:hAnsi="Calibri" w:cs="Calibri" w:eastAsia="Calibri"/>
          <w:color w:val="111111"/>
          <w:sz w:val="22"/>
        </w:rPr>
        <w:t>, 3(1), pp.79–87. https://doi.org/10.1162/neco.1991.3.1.79</w:t>
      </w:r>
    </w:p>
    <w:p>
      <w:pPr>
        <w:spacing w:after="160" w:line="320" w:lineRule="auto"/>
        <w:ind w:left="567" w:hanging="567"/>
        <w:jc w:val="left"/>
      </w:pPr>
      <w:r>
        <w:rPr>
          <w:rFonts w:ascii="Calibri" w:hAnsi="Calibri" w:cs="Calibri" w:eastAsia="Calibri"/>
          <w:color w:val="111111"/>
          <w:sz w:val="22"/>
        </w:rPr>
        <w:t xml:space="preserve">Koenker, R. and Bassett, G., 1978. Regression quantiles. </w:t>
      </w:r>
      <w:r>
        <w:rPr>
          <w:rFonts w:ascii="Calibri" w:hAnsi="Calibri" w:cs="Calibri" w:eastAsia="Calibri"/>
          <w:i/>
          <w:color w:val="111111"/>
          <w:sz w:val="22"/>
        </w:rPr>
        <w:t>Econometrica</w:t>
      </w:r>
      <w:r>
        <w:rPr>
          <w:rFonts w:ascii="Calibri" w:hAnsi="Calibri" w:cs="Calibri" w:eastAsia="Calibri"/>
          <w:color w:val="111111"/>
          <w:sz w:val="22"/>
        </w:rPr>
        <w:t>, 46(1), pp.33–50. https://doi.org/10.2307/1913643</w:t>
      </w:r>
    </w:p>
    <w:p>
      <w:pPr>
        <w:spacing w:after="160" w:line="320" w:lineRule="auto"/>
        <w:ind w:left="567" w:hanging="567"/>
        <w:jc w:val="left"/>
      </w:pPr>
      <w:r>
        <w:rPr>
          <w:rFonts w:ascii="Calibri" w:hAnsi="Calibri" w:cs="Calibri" w:eastAsia="Calibri"/>
          <w:color w:val="111111"/>
          <w:sz w:val="22"/>
        </w:rPr>
        <w:t xml:space="preserve">Kupiec, P.H., 1995. Techniques for verifying the accuracy of risk measurement models. </w:t>
      </w:r>
      <w:r>
        <w:rPr>
          <w:rFonts w:ascii="Calibri" w:hAnsi="Calibri" w:cs="Calibri" w:eastAsia="Calibri"/>
          <w:i/>
          <w:color w:val="111111"/>
          <w:sz w:val="22"/>
        </w:rPr>
        <w:t>The Journal of Derivatives</w:t>
      </w:r>
      <w:r>
        <w:rPr>
          <w:rFonts w:ascii="Calibri" w:hAnsi="Calibri" w:cs="Calibri" w:eastAsia="Calibri"/>
          <w:color w:val="111111"/>
          <w:sz w:val="22"/>
        </w:rPr>
        <w:t>, 3(2), pp.73–84. https://doi.org/10.3905/jod.1995.407942</w:t>
      </w:r>
    </w:p>
    <w:p>
      <w:pPr>
        <w:spacing w:after="160" w:line="320" w:lineRule="auto"/>
        <w:ind w:left="567" w:hanging="567"/>
        <w:jc w:val="left"/>
      </w:pPr>
      <w:r>
        <w:rPr>
          <w:rFonts w:ascii="Calibri" w:hAnsi="Calibri" w:cs="Calibri" w:eastAsia="Calibri"/>
          <w:color w:val="111111"/>
          <w:sz w:val="22"/>
        </w:rPr>
        <w:t xml:space="preserve">Lim, B. and Zohren, S., 2021. Time-series forecasting with deep learning: a survey. </w:t>
      </w:r>
      <w:r>
        <w:rPr>
          <w:rFonts w:ascii="Calibri" w:hAnsi="Calibri" w:cs="Calibri" w:eastAsia="Calibri"/>
          <w:i/>
          <w:color w:val="111111"/>
          <w:sz w:val="22"/>
        </w:rPr>
        <w:t>Philosophical Transactions of the Royal Society A</w:t>
      </w:r>
      <w:r>
        <w:rPr>
          <w:rFonts w:ascii="Calibri" w:hAnsi="Calibri" w:cs="Calibri" w:eastAsia="Calibri"/>
          <w:color w:val="111111"/>
          <w:sz w:val="22"/>
        </w:rPr>
        <w:t xml:space="preserve">, 379(2194), 20200209. </w:t>
      </w:r>
      <w:r>
        <w:rPr>
          <w:rFonts w:ascii="Calibri" w:hAnsi="Calibri" w:cs="Calibri" w:eastAsia="Calibri"/>
          <w:color w:val="111111"/>
          <w:sz w:val="22"/>
        </w:rPr>
        <w:t>https://doi.org/10.1098/rsta.2020.0209</w:t>
      </w:r>
    </w:p>
    <w:p>
      <w:pPr>
        <w:spacing w:after="160" w:line="320" w:lineRule="auto"/>
        <w:ind w:left="567" w:hanging="567"/>
        <w:jc w:val="left"/>
      </w:pPr>
      <w:r>
        <w:rPr>
          <w:rFonts w:ascii="Calibri" w:hAnsi="Calibri" w:cs="Calibri" w:eastAsia="Calibri"/>
          <w:color w:val="111111"/>
          <w:sz w:val="22"/>
        </w:rPr>
        <w:t xml:space="preserve">Lim, B., Arık, S.Ö., Loeff, N. and Pfister, T., 2021. Temporal fusion transformers for interpretable multi-horizon time series forecasting. </w:t>
      </w:r>
      <w:r>
        <w:rPr>
          <w:rFonts w:ascii="Calibri" w:hAnsi="Calibri" w:cs="Calibri" w:eastAsia="Calibri"/>
          <w:i/>
          <w:color w:val="111111"/>
          <w:sz w:val="22"/>
        </w:rPr>
        <w:t>International Journal of Forecasting</w:t>
      </w:r>
      <w:r>
        <w:rPr>
          <w:rFonts w:ascii="Calibri" w:hAnsi="Calibri" w:cs="Calibri" w:eastAsia="Calibri"/>
          <w:color w:val="111111"/>
          <w:sz w:val="22"/>
        </w:rPr>
        <w:t>, 37(4), pp.1748–1764. https://doi.org/10.1016/j.ijforecast.2021.03.012</w:t>
      </w:r>
    </w:p>
    <w:p>
      <w:pPr>
        <w:spacing w:after="160" w:line="320" w:lineRule="auto"/>
        <w:ind w:left="567" w:hanging="567"/>
        <w:jc w:val="left"/>
      </w:pPr>
      <w:r>
        <w:rPr>
          <w:rFonts w:ascii="Calibri" w:hAnsi="Calibri" w:cs="Calibri" w:eastAsia="Calibri"/>
          <w:color w:val="111111"/>
          <w:sz w:val="22"/>
        </w:rPr>
        <w:t xml:space="preserve">Liu, L.Y., Patton, A.J. and Sheppard, K., 2015. Does anything beat 5-minute RV? A comparison of realized measures across multiple asset classes. </w:t>
      </w:r>
      <w:r>
        <w:rPr>
          <w:rFonts w:ascii="Calibri" w:hAnsi="Calibri" w:cs="Calibri" w:eastAsia="Calibri"/>
          <w:i/>
          <w:color w:val="111111"/>
          <w:sz w:val="22"/>
        </w:rPr>
        <w:t>Journal of Econometrics</w:t>
      </w:r>
      <w:r>
        <w:rPr>
          <w:rFonts w:ascii="Calibri" w:hAnsi="Calibri" w:cs="Calibri" w:eastAsia="Calibri"/>
          <w:color w:val="111111"/>
          <w:sz w:val="22"/>
        </w:rPr>
        <w:t>, 187(1), pp.293–311. https://doi.org/10.1016/j.jeconom.2015.02.008</w:t>
      </w:r>
    </w:p>
    <w:p>
      <w:pPr>
        <w:spacing w:after="160" w:line="320" w:lineRule="auto"/>
        <w:ind w:left="567" w:hanging="567"/>
        <w:jc w:val="left"/>
      </w:pPr>
      <w:r>
        <w:rPr>
          <w:rFonts w:ascii="Calibri" w:hAnsi="Calibri" w:cs="Calibri" w:eastAsia="Calibri"/>
          <w:color w:val="111111"/>
          <w:sz w:val="22"/>
        </w:rPr>
        <w:t xml:space="preserve">Nelson, D.B., 1991. Conditional heteroskedasticity in asset returns: a new approach. </w:t>
      </w:r>
      <w:r>
        <w:rPr>
          <w:rFonts w:ascii="Calibri" w:hAnsi="Calibri" w:cs="Calibri" w:eastAsia="Calibri"/>
          <w:i/>
          <w:color w:val="111111"/>
          <w:sz w:val="22"/>
        </w:rPr>
        <w:t>Econometrica</w:t>
      </w:r>
      <w:r>
        <w:rPr>
          <w:rFonts w:ascii="Calibri" w:hAnsi="Calibri" w:cs="Calibri" w:eastAsia="Calibri"/>
          <w:color w:val="111111"/>
          <w:sz w:val="22"/>
        </w:rPr>
        <w:t>, 59(2), pp.347–370. https://doi.org/10.2307/2938260</w:t>
      </w:r>
    </w:p>
    <w:p>
      <w:pPr>
        <w:spacing w:after="160" w:line="320" w:lineRule="auto"/>
        <w:ind w:left="567" w:hanging="567"/>
        <w:jc w:val="left"/>
      </w:pPr>
      <w:r>
        <w:rPr>
          <w:rFonts w:ascii="Calibri" w:hAnsi="Calibri" w:cs="Calibri" w:eastAsia="Calibri"/>
          <w:color w:val="111111"/>
          <w:sz w:val="22"/>
        </w:rPr>
        <w:t xml:space="preserve">Newey, W.K. and West, K.D., 1987. A simple, positive semi-definite, heteroskedasticity and autocorrelation consistent covariance matrix. </w:t>
      </w:r>
      <w:r>
        <w:rPr>
          <w:rFonts w:ascii="Calibri" w:hAnsi="Calibri" w:cs="Calibri" w:eastAsia="Calibri"/>
          <w:i/>
          <w:color w:val="111111"/>
          <w:sz w:val="22"/>
        </w:rPr>
        <w:t>Econometrica</w:t>
      </w:r>
      <w:r>
        <w:rPr>
          <w:rFonts w:ascii="Calibri" w:hAnsi="Calibri" w:cs="Calibri" w:eastAsia="Calibri"/>
          <w:color w:val="111111"/>
          <w:sz w:val="22"/>
        </w:rPr>
        <w:t>, 55(3), pp.703–708. https://doi.org/10.2307/1913610</w:t>
      </w:r>
    </w:p>
    <w:p>
      <w:pPr>
        <w:spacing w:after="160" w:line="320" w:lineRule="auto"/>
        <w:ind w:left="567" w:hanging="567"/>
        <w:jc w:val="left"/>
      </w:pPr>
      <w:r>
        <w:rPr>
          <w:rFonts w:ascii="Calibri" w:hAnsi="Calibri" w:cs="Calibri" w:eastAsia="Calibri"/>
          <w:color w:val="111111"/>
          <w:sz w:val="22"/>
        </w:rPr>
        <w:t xml:space="preserve">Nystrup, P., Lindström, E. and Madsen, H., 2020. Learning hidden Markov models with persistent states by penalizing jumps. </w:t>
      </w:r>
      <w:r>
        <w:rPr>
          <w:rFonts w:ascii="Calibri" w:hAnsi="Calibri" w:cs="Calibri" w:eastAsia="Calibri"/>
          <w:i/>
          <w:color w:val="111111"/>
          <w:sz w:val="22"/>
        </w:rPr>
        <w:t>Expert Systems with Applications</w:t>
      </w:r>
      <w:r>
        <w:rPr>
          <w:rFonts w:ascii="Calibri" w:hAnsi="Calibri" w:cs="Calibri" w:eastAsia="Calibri"/>
          <w:color w:val="111111"/>
          <w:sz w:val="22"/>
        </w:rPr>
        <w:t>, 150, 113307. https://doi.org/10.1016/j.eswa.2020.113307</w:t>
      </w:r>
    </w:p>
    <w:p>
      <w:pPr>
        <w:spacing w:after="160" w:line="320" w:lineRule="auto"/>
        <w:ind w:left="567" w:hanging="567"/>
        <w:jc w:val="left"/>
      </w:pPr>
      <w:r>
        <w:rPr>
          <w:rFonts w:ascii="Calibri" w:hAnsi="Calibri" w:cs="Calibri" w:eastAsia="Calibri"/>
          <w:color w:val="111111"/>
          <w:sz w:val="22"/>
        </w:rPr>
        <w:t xml:space="preserve">Patton, A.J., 2011. Volatility forecast comparison using imperfect volatility proxies. </w:t>
      </w:r>
      <w:r>
        <w:rPr>
          <w:rFonts w:ascii="Calibri" w:hAnsi="Calibri" w:cs="Calibri" w:eastAsia="Calibri"/>
          <w:i/>
          <w:color w:val="111111"/>
          <w:sz w:val="22"/>
        </w:rPr>
        <w:t>Journal of Econometrics</w:t>
      </w:r>
      <w:r>
        <w:rPr>
          <w:rFonts w:ascii="Calibri" w:hAnsi="Calibri" w:cs="Calibri" w:eastAsia="Calibri"/>
          <w:color w:val="111111"/>
          <w:sz w:val="22"/>
        </w:rPr>
        <w:t xml:space="preserve">, 160(1), pp.246–256. https://doi.org/10.1016/j.jeconom.2010.03.034 </w:t>
      </w:r>
    </w:p>
    <w:p>
      <w:pPr>
        <w:spacing w:after="160" w:line="320" w:lineRule="auto"/>
        <w:ind w:left="567" w:hanging="567"/>
        <w:jc w:val="left"/>
      </w:pPr>
      <w:r>
        <w:rPr>
          <w:rFonts w:ascii="Calibri" w:hAnsi="Calibri" w:cs="Calibri" w:eastAsia="Calibri"/>
          <w:color w:val="111111"/>
          <w:sz w:val="22"/>
        </w:rPr>
        <w:t xml:space="preserve">Politis, D.N. and Romano, J.P., 1994. The stationary bootstrap.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89(428), pp.1303–1313. https://doi.org/10.1080/01621459.1994.10476870</w:t>
      </w:r>
    </w:p>
    <w:p>
      <w:pPr>
        <w:spacing w:after="160" w:line="320" w:lineRule="auto"/>
        <w:ind w:left="567" w:hanging="567"/>
        <w:jc w:val="left"/>
      </w:pPr>
      <w:r>
        <w:rPr>
          <w:rFonts w:ascii="Calibri" w:hAnsi="Calibri" w:cs="Calibri" w:eastAsia="Calibri"/>
          <w:color w:val="111111"/>
          <w:sz w:val="22"/>
        </w:rPr>
        <w:t xml:space="preserve">Vaswani, A., Shazeer, N., Parmar, N., Uszkoreit, J., Jones, L., Gomez, A.N., Kaiser, Ł. and Polosukhin, I., 2017. Attention is all you need. In: </w:t>
      </w:r>
      <w:r>
        <w:rPr>
          <w:rFonts w:ascii="Calibri" w:hAnsi="Calibri" w:cs="Calibri" w:eastAsia="Calibri"/>
          <w:i/>
          <w:color w:val="111111"/>
          <w:sz w:val="22"/>
        </w:rPr>
        <w:t>Advances in Neural Information Processing Systems 30 (NeurIPS 2017)</w:t>
      </w:r>
      <w:r>
        <w:rPr>
          <w:rFonts w:ascii="Calibri" w:hAnsi="Calibri" w:cs="Calibri" w:eastAsia="Calibri"/>
          <w:color w:val="111111"/>
          <w:sz w:val="22"/>
        </w:rPr>
        <w:t>.</w:t>
      </w:r>
    </w:p>
    <w:p>
      <w:pPr>
        <w:spacing w:after="160" w:line="320" w:lineRule="auto"/>
        <w:ind w:left="567" w:hanging="567"/>
        <w:jc w:val="left"/>
      </w:pPr>
      <w:r>
        <w:rPr>
          <w:rFonts w:ascii="Calibri" w:hAnsi="Calibri" w:cs="Calibri" w:eastAsia="Calibri"/>
          <w:color w:val="111111"/>
          <w:sz w:val="22"/>
        </w:rPr>
        <w:t xml:space="preserve">Zeng, A., Chen, M., Zhang, L. and Xu, Q., 2023. Are transformers effective for time series forecasting? </w:t>
      </w:r>
      <w:r>
        <w:rPr>
          <w:rFonts w:ascii="Calibri" w:hAnsi="Calibri" w:cs="Calibri" w:eastAsia="Calibri"/>
          <w:i/>
          <w:color w:val="111111"/>
          <w:sz w:val="22"/>
        </w:rPr>
        <w:t>Proceedings of the AAAI Conference on Artificial Intelligence</w:t>
      </w:r>
      <w:r>
        <w:rPr>
          <w:rFonts w:ascii="Calibri" w:hAnsi="Calibri" w:cs="Calibri" w:eastAsia="Calibri"/>
          <w:color w:val="111111"/>
          <w:sz w:val="22"/>
        </w:rP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