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444444"/>
          <w:sz w:val="22"/>
          <w:szCs w:val="22"/>
        </w:rPr>
        <w:t xml:space="preserve">Chapter 3</w:t>
      </w:r>
    </w:p>
    <w:p>
      <w:pPr>
        <w:pStyle w:val="Heading1"/>
        <w:spacing w:after="180" w:before="320"/>
      </w:pPr>
      <w:r>
        <w:rPr>
          <w:rFonts w:ascii="Calibri" w:cs="Calibri" w:eastAsia="Calibri" w:hAnsi="Calibri"/>
          <w:b/>
          <w:bCs/>
          <w:color w:val="111111"/>
          <w:sz w:val="30"/>
          <w:szCs w:val="30"/>
        </w:rPr>
        <w:t xml:space="preserve">Methodology</w:t>
      </w:r>
    </w:p>
    <w:p>
      <w:pPr>
        <w:pStyle w:val="Heading2"/>
        <w:spacing w:after="180" w:before="320"/>
      </w:pPr>
      <w:r>
        <w:rPr>
          <w:rFonts w:ascii="Calibri" w:cs="Calibri" w:eastAsia="Calibri" w:hAnsi="Calibri"/>
          <w:b/>
          <w:bCs/>
          <w:color w:val="111111"/>
          <w:sz w:val="26"/>
          <w:szCs w:val="26"/>
        </w:rPr>
        <w:t xml:space="preserve">3.1  Research Design and Overview of the Proposed Method</w:t>
      </w:r>
    </w:p>
    <w:p>
      <w:pPr>
        <w:spacing w:after="160" w:line="320"/>
        <w:jc w:val="both"/>
      </w:pPr>
      <w:r>
        <w:rPr>
          <w:rFonts w:ascii="Calibri" w:cs="Calibri" w:eastAsia="Calibri" w:hAnsi="Calibri"/>
          <w:color w:val="111111"/>
          <w:sz w:val="22"/>
          <w:szCs w:val="22"/>
        </w:rPr>
        <w:t>This chapter specifies the method: the data it requires, how each component is built, how its parameters are chosen, and how forecasts are judged. It is written to be reproducible without sight of the implementation and to apply to any dataset meeting Section 3.2's requirements; the values these procedures return belong to Chapter 4.</w:t>
      </w:r>
    </w:p>
    <w:p>
      <w:pPr>
        <w:spacing w:after="160" w:line="320"/>
        <w:jc w:val="both"/>
      </w:pPr>
      <w:r>
        <w:rPr>
          <w:rFonts w:ascii="Calibri" w:cs="Calibri" w:eastAsia="Calibri" w:hAnsi="Calibri"/>
          <w:color w:val="111111"/>
          <w:sz w:val="22"/>
          <w:szCs w:val="22"/>
        </w:rPr>
        <w:t>The paradigm is a controlled comparative evaluation. Chapter 2 found the gap to be one of integration rather than invention, the econometric, regime-switching, deep-learning and uncertainty-quantification traditions having matured separately, so the object under test is the assembled pipeline rather than a novel architecture: all models forecast the same target over the same window, on the same losses and tests, and only the component under examination varies. Each research question concerns a different property of the predictive distribution — RQ1 the conditional mean, judged on point loss; RQ2 whether that loss depends on the market state, judged on conditional predictive ability; RQ3 the interval, judged on coverage, sharpness and proper scores.</w:t>
      </w:r>
    </w:p>
    <w:p>
      <w:pPr>
        <w:spacing w:after="160" w:line="320"/>
        <w:jc w:val="both"/>
      </w:pPr>
      <w:r>
        <w:rPr>
          <w:rFonts w:ascii="Calibri" w:cs="Calibri" w:eastAsia="Calibri" w:hAnsi="Calibri"/>
          <w:color w:val="111111"/>
          <w:sz w:val="22"/>
          <w:szCs w:val="22"/>
        </w:rPr>
        <w:t>Figure 3.1 shows the pipeline, Sections 3.2 to 3.7 taking its stages in order. The target is realised variance rather than realised volatility, every loss computed on the variance scale, and Table 3.1 fixes each model's role, Appendix A.1 the symbols used throughout, and Appendix A.2 names every model that fills a role. One asset carries the primary analysis while a reduced design tests transfer to two others, a scope decision set out in Section 3.9. The study uses only aggregate published data, so there are no human participants; but volatility forecasts inform capital decisions, so an over-confident interval is not a neutral error, which is why RQ3 tests calibration rather than assuming it.</w:t>
      </w:r>
    </w:p>
    <w:p>
      <w:pPr>
        <w:spacing w:after="90" w:before="200"/>
      </w:pPr>
      <w:r>
        <w:rPr>
          <w:rFonts w:ascii="Calibri" w:cs="Calibri" w:eastAsia="Calibri" w:hAnsi="Calibri"/>
          <w:b/>
          <w:bCs/>
          <w:color w:val="111111"/>
          <w:sz w:val="19"/>
          <w:szCs w:val="19"/>
        </w:rPr>
        <w:t>Table 3.1  Model inventory: the role each model plays in the comparison. The terms in the left-hand column are used with these meanings in every subsequent chapter.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cantSplit/>
          <w:tblHeader/>
        </w:trPr>
        <w:tc>
          <w:tcPr>
            <w:tcW w:type="dxa" w:w="2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Term</w:t>
            </w:r>
          </w:p>
        </w:tc>
        <w:tc>
          <w:tcPr>
            <w:tcW w:type="dxa" w:w="6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9"/>
                <w:szCs w:val="19"/>
              </w:rPr>
              <w:t xml:space="preserve">Role in this study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Econometric baseline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GARCH(1,1), EGARCH, HAR-RV. Established models the approach must clear; each isolates one competing explanation (Table 3.3).</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Reference floor</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random walk in variance. Not a baseline: the accuracy persistence alone attains.</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Unconditional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no regime information. The control.</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Regime-conditioned network</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An LSTM receiving the state posterior, by either architecture in Section 3.4.</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Regime signal</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per-day distribution over states from Section 3.3, using forecast-origin information only.</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Ablation</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A specification removing one component to attribute an effect, not to compete.</w:t>
            </w:r>
          </w:p>
        </w:tc>
      </w:tr>
      <w:tr>
        <w:trPr>
          <w:cantSplit/>
          <w:tblHeader w:val="false"/>
        </w:trPr>
        <w:tc>
          <w:tcPr>
            <w:tcW w:type="dxa" w:w="2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Headline / comparator profile</w:t>
            </w:r>
          </w:p>
        </w:tc>
        <w:tc>
          <w:tcPr>
            <w:tcW w:type="dxa" w:w="6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9"/>
                <w:szCs w:val="19"/>
              </w:rPr>
              <w:t xml:space="preserve">The pipeline on the jump-penalised state estimator (pre-registered), and re-run on a maximum-likelihood one to test estimator dependence.</w:t>
            </w:r>
          </w:p>
        </w:tc>
      </w:tr>
    </w:tbl>
    <w:p>
      <w:pPr>
        <w:spacing w:after="90" w:before="260"/>
        <w:jc w:val="center"/>
      </w:pPr>
      <w:r>
        <w:drawing>
          <wp:inline distT="0" distB="0" distL="0" distR="0">
            <wp:extent cx="4295775" cy="410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295775" cy="4105275"/>
                    </a:xfrm>
                    <a:prstGeom prst="rect">
                      <a:avLst/>
                    </a:prstGeom>
                  </pic:spPr>
                </pic:pic>
              </a:graphicData>
            </a:graphic>
          </wp:inline>
        </w:drawing>
      </w:r>
    </w:p>
    <w:p>
      <w:pPr>
        <w:spacing w:after="300"/>
      </w:pPr>
      <w:r>
        <w:rPr>
          <w:rFonts w:ascii="Calibri" w:cs="Calibri" w:eastAsia="Calibri" w:hAnsi="Calibri"/>
          <w:i/>
          <w:iCs/>
          <w:color w:val="444444"/>
          <w:sz w:val="18"/>
          <w:szCs w:val="18"/>
        </w:rPr>
        <w:t>Figure 3.1. The forecasting pipeline. Solid arrows carry data; the dashed arrow carries the regime signal, estimated on the training window only. The bracket marks the stages produced on the anchored walk-forward; each estimation box states its own refit cadence, which differs by model family for the reasons given in Section 3.6.</w:t>
      </w:r>
    </w:p>
    <w:p>
      <w:pPr>
        <w:pStyle w:val="Heading2"/>
        <w:spacing w:after="180" w:before="320"/>
      </w:pPr>
      <w:r>
        <w:rPr>
          <w:rFonts w:ascii="Calibri" w:cs="Calibri" w:eastAsia="Calibri" w:hAnsi="Calibri"/>
          <w:b/>
          <w:bCs/>
          <w:color w:val="111111"/>
          <w:sz w:val="26"/>
          <w:szCs w:val="26"/>
        </w:rPr>
        <w:t xml:space="preserve">3.2  Data Requirements</w:t>
      </w:r>
    </w:p>
    <w:p>
      <w:pPr>
        <w:spacing w:after="160" w:line="320"/>
        <w:jc w:val="both"/>
      </w:pPr>
      <w:r>
        <w:rPr>
          <w:rFonts w:ascii="Calibri" w:cs="Calibri" w:eastAsia="Calibri" w:hAnsi="Calibri"/>
          <w:color w:val="111111"/>
          <w:sz w:val="22"/>
          <w:szCs w:val="22"/>
        </w:rPr>
        <w:t>The method is specified against a data interface rather than a source: any series meeting the requirements below drives the pipeline unchanged, and Chapter 4 names the series used. The dependent variable is daily realised variance, formed from intraday prices as the sum of squared intraday returns:</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i=1</w:t>
      </w:r>
      <w:r>
        <w:rPr>
          <w:rFonts w:ascii="Cambria Math" w:cs="Cambria Math" w:eastAsia="Cambria Math" w:hAnsi="Cambria Math"/>
          <w:i/>
          <w:iCs/>
          <w:color w:val="111111"/>
          <w:sz w:val="20"/>
          <w:szCs w:val="20"/>
          <w:vertAlign w:val="superscript"/>
        </w:rPr>
        <w:t xml:space="preserve">M</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r</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w:t>
      </w:r>
      <w:r>
        <w:rPr>
          <w:rFonts w:ascii="Cambria Math" w:cs="Cambria Math" w:eastAsia="Cambria Math" w:hAnsi="Cambria Math"/>
          <w:color w:val="111111"/>
          <w:sz w:val="24"/>
          <w:szCs w:val="24"/>
        </w:rPr>
        <w:t xml:space="preserve">  −  log </w:t>
      </w:r>
      <w:r>
        <w:rPr>
          <w:rFonts w:ascii="Cambria Math" w:cs="Cambria Math" w:eastAsia="Cambria Math" w:hAnsi="Cambria Math"/>
          <w:i/>
          <w:iCs/>
          <w:color w:val="111111"/>
          <w:sz w:val="24"/>
          <w:szCs w:val="24"/>
        </w:rPr>
        <w:t xml:space="preserve">P</w:t>
      </w:r>
      <w:r>
        <w:rPr>
          <w:rFonts w:ascii="Cambria Math" w:cs="Cambria Math" w:eastAsia="Cambria Math" w:hAnsi="Cambria Math"/>
          <w:i/>
          <w:iCs/>
          <w:color w:val="111111"/>
          <w:sz w:val="24"/>
          <w:szCs w:val="24"/>
          <w:vertAlign w:val="subscript"/>
        </w:rPr>
        <w:t xml:space="preserve">t,i−1</w:t>
      </w:r>
      <w:r>
        <w:rPr>
          <w:rFonts w:ascii="Calibri" w:cs="Calibri" w:eastAsia="Calibri" w:hAnsi="Calibri"/>
          <w:sz w:val="22"/>
          <w:szCs w:val="22"/>
        </w:rPr>
        <w:t xml:space="preserve">	(3.1)</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P</w:t>
      </w:r>
      <w:r>
        <w:rPr>
          <w:rFonts w:ascii="Calibri" w:cs="Calibri" w:eastAsia="Calibri" w:hAnsi="Calibri"/>
          <w:i/>
          <w:iCs/>
          <w:color w:val="111111"/>
          <w:sz w:val="19"/>
          <w:szCs w:val="19"/>
          <w:vertAlign w:val="subscript"/>
        </w:rPr>
        <w:t xml:space="preserve">t,i</w:t>
      </w:r>
      <w:r>
        <w:rPr>
          <w:rFonts w:ascii="Calibri" w:cs="Calibri" w:eastAsia="Calibri" w:hAnsi="Calibri"/>
          <w:color w:val="111111"/>
          <w:sz w:val="22"/>
          <w:szCs w:val="22"/>
        </w:rPr>
        <w:t xml:space="preserve"> is the </w:t>
      </w:r>
      <w:r>
        <w:rPr>
          <w:rFonts w:ascii="Calibri" w:cs="Calibri" w:eastAsia="Calibri" w:hAnsi="Calibri"/>
          <w:i/>
          <w:iCs/>
          <w:color w:val="111111"/>
          <w:sz w:val="22"/>
          <w:szCs w:val="22"/>
        </w:rPr>
        <w:t xml:space="preserve">i</w:t>
      </w:r>
      <w:r>
        <w:rPr>
          <w:rFonts w:ascii="Calibri" w:cs="Calibri" w:eastAsia="Calibri" w:hAnsi="Calibri"/>
          <w:color w:val="111111"/>
          <w:sz w:val="22"/>
          <w:szCs w:val="22"/>
        </w:rPr>
        <w:t xml:space="preserve">-th price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on a fixed grid of </w:t>
      </w:r>
      <w:r>
        <w:rPr>
          <w:rFonts w:ascii="Calibri" w:cs="Calibri" w:eastAsia="Calibri" w:hAnsi="Calibri"/>
          <w:i/>
          <w:iCs/>
          <w:color w:val="111111"/>
          <w:sz w:val="22"/>
          <w:szCs w:val="22"/>
        </w:rPr>
        <w:t xml:space="preserve">M</w:t>
      </w:r>
      <w:r>
        <w:rPr>
          <w:rFonts w:ascii="Calibri" w:cs="Calibri" w:eastAsia="Calibri" w:hAnsi="Calibri"/>
          <w:color w:val="111111"/>
          <w:sz w:val="22"/>
          <w:szCs w:val="22"/>
        </w:rPr>
        <w:t xml:space="preserve"> intervals, </w:t>
      </w:r>
      <w:r>
        <w:rPr>
          <w:rFonts w:ascii="Calibri" w:cs="Calibri" w:eastAsia="Calibri" w:hAnsi="Calibri"/>
          <w:i/>
          <w:iCs/>
          <w:color w:val="111111"/>
          <w:sz w:val="22"/>
          <w:szCs w:val="22"/>
        </w:rPr>
        <w:t xml:space="preserve">r</w:t>
      </w:r>
      <w:r>
        <w:rPr>
          <w:rFonts w:ascii="Calibri" w:cs="Calibri" w:eastAsia="Calibri" w:hAnsi="Calibri"/>
          <w:i/>
          <w:iCs/>
          <w:color w:val="111111"/>
          <w:sz w:val="19"/>
          <w:szCs w:val="19"/>
          <w:vertAlign w:val="subscript"/>
        </w:rPr>
        <w:t xml:space="preserve">t,i</w:t>
      </w:r>
      <w:r>
        <w:rPr>
          <w:rFonts w:ascii="Calibri" w:cs="Calibri" w:eastAsia="Calibri" w:hAnsi="Calibri"/>
          <w:color w:val="111111"/>
          <w:sz w:val="22"/>
          <w:szCs w:val="22"/>
        </w:rPr>
        <w:t xml:space="preserve"> the corresponding intraday log return, and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realised variance of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which converges to integrated variance as the grid is refined (Andersen et al., 2003). The grid must be fixed and documented, not of any particular width: a finer grid lowers discretisation error but admits more microstructure noise, five minutes being the conventional compromise (Liu, Patton and Sheppard, 2015). The target must be strictly positive, the models being estimated on its logarithm under a ratio loss, and it is a variance rather than a standard deviation, the two not being interchangeable under a non-linear loss.</w:t>
      </w:r>
    </w:p>
    <w:p>
      <w:pPr>
        <w:spacing w:after="160" w:line="320"/>
        <w:jc w:val="both"/>
      </w:pPr>
      <w:r>
        <w:rPr>
          <w:rFonts w:ascii="Calibri" w:cs="Calibri" w:eastAsia="Calibri" w:hAnsi="Calibri"/>
          <w:color w:val="111111"/>
          <w:sz w:val="22"/>
          <w:szCs w:val="22"/>
        </w:rPr>
        <w:t>Predictor requirements stay modest, the Section 3.4 comparison being interpretable only if every model draws on the same information set; Table 3.2 gives the interface. An auxiliary implied-volatility series must price options on the same market as the target, one from another market being a spillover experiment rather than a feature. Rows missing a required field are dropped, never imputed, the missing quantity being the object forecast.</w:t>
      </w:r>
    </w:p>
    <w:p>
      <w:pPr>
        <w:spacing w:after="90" w:before="200"/>
      </w:pPr>
      <w:r>
        <w:rPr>
          <w:rFonts w:ascii="Calibri" w:cs="Calibri" w:eastAsia="Calibri" w:hAnsi="Calibri"/>
          <w:b/>
          <w:bCs/>
          <w:color w:val="111111"/>
          <w:sz w:val="19"/>
          <w:szCs w:val="19"/>
        </w:rPr>
        <w:t>Table 3.2  Data dictionary: what the method requires of any input series.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640"/>
        <w:gridCol w:w="1240"/>
        <w:gridCol w:w="2040"/>
        <w:gridCol w:w="3206"/>
      </w:tblGrid>
      <w:tr>
        <w:trPr>
          <w:cantSplit/>
          <w:tblHeader/>
        </w:trPr>
        <w:tc>
          <w:tcPr>
            <w:tcW w:type="dxa" w:w="19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Field</w:t>
            </w:r>
          </w:p>
        </w:tc>
        <w:tc>
          <w:tcPr>
            <w:tcW w:type="dxa" w:w="6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Type</w:t>
            </w:r>
          </w:p>
        </w:tc>
        <w:tc>
          <w:tcPr>
            <w:tcW w:type="dxa" w:w="12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Status</w:t>
            </w:r>
          </w:p>
        </w:tc>
        <w:tc>
          <w:tcPr>
            <w:tcW w:type="dxa" w:w="20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Constraint</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Purpose</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date</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Unique, ascending, trading days</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Join key for all sources</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Intraday prices, or a realised measure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Fixed documented grid; 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Forecast target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r>
              <w:rPr>
                <w:rFonts w:ascii="Calibri" w:cs="Calibri" w:eastAsia="Calibri" w:hAnsi="Calibri"/>
                <w:b w:val="false"/>
                <w:bCs w:val="false"/>
                <w:color w:val="444444"/>
                <w:sz w:val="18"/>
                <w:szCs w:val="18"/>
              </w:rPr>
              <w:t xml:space="preserve"> (Eq. 3.1)</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close</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Required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Closing price; the close-to-close return the Section 3.3 regime model emits on, and with open the session return of Table 3.3</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Conditional</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Required when the target is session-only; positive, same session</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With close, the open-to-close return the variance baselines take, matched to the target's session</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Implied volatility</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Optional</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Positive; same market as the target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 input for the Section 3.4 ablation</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d</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w</w:t>
            </w:r>
            <w:r>
              <w:rPr>
                <w:rFonts w:ascii="Calibri" w:cs="Calibri" w:eastAsia="Calibri" w:hAnsi="Calibri"/>
                <w:b w:val="false"/>
                <w:bCs w:val="false"/>
                <w:color w:val="444444"/>
                <w:sz w:val="18"/>
                <w:szCs w:val="18"/>
              </w:rPr>
              <w:t xml:space="preserve">,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m</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1-, 5-, 22-day means of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 predictors (Corsi, 2009)</w:t>
            </w:r>
          </w:p>
        </w:tc>
      </w:tr>
      <w:tr>
        <w:trPr>
          <w:cantSplit/>
          <w:tblHeader w:val="false"/>
        </w:trPr>
        <w:tc>
          <w:tcPr>
            <w:tcW w:type="dxa" w:w="19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w:t>
            </w:r>
            <w:r>
              <w:rPr>
                <w:rFonts w:ascii="Calibri" w:cs="Calibri" w:eastAsia="Calibri" w:hAnsi="Calibri"/>
                <w:b w:val="false"/>
                <w:bCs w:val="false"/>
                <w:i/>
                <w:iCs/>
                <w:color w:val="444444"/>
                <w:sz w:val="18"/>
                <w:szCs w:val="18"/>
              </w:rPr>
              <w:t xml:space="preserve">RV</w:t>
            </w:r>
            <w:r>
              <w:rPr>
                <w:rFonts w:ascii="Calibri" w:cs="Calibri" w:eastAsia="Calibri" w:hAnsi="Calibri"/>
                <w:b w:val="false"/>
                <w:bCs w:val="false"/>
                <w:i/>
                <w:iCs/>
                <w:color w:val="444444"/>
                <w:sz w:val="15"/>
                <w:szCs w:val="15"/>
                <w:vertAlign w:val="subscript"/>
              </w:rPr>
              <w:t xml:space="preserve">t</w:t>
            </w:r>
          </w:p>
        </w:tc>
        <w:tc>
          <w:tcPr>
            <w:tcW w:type="dxa" w:w="6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float</w:t>
            </w:r>
          </w:p>
        </w:tc>
        <w:tc>
          <w:tcPr>
            <w:tcW w:type="dxa" w:w="12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Derived</w:t>
            </w:r>
          </w:p>
        </w:tc>
        <w:tc>
          <w:tcPr>
            <w:tcW w:type="dxa" w:w="20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Finite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scale every network is estimated on</w:t>
            </w:r>
          </w:p>
        </w:tc>
      </w:tr>
    </w:tbl>
    <w:p>
      <w:pPr>
        <w:spacing w:after="260" w:line="280"/>
      </w:pPr>
      <w:r>
        <w:rPr>
          <w:rFonts w:ascii="Calibri" w:cs="Calibri" w:eastAsia="Calibri" w:hAnsi="Calibri"/>
          <w:color w:val="444444"/>
          <w:sz w:val="18"/>
          <w:szCs w:val="18"/>
        </w:rPr>
        <w:t xml:space="preserve">Minimum history: 22 + </w:t>
      </w:r>
      <w:r>
        <w:rPr>
          <w:rFonts w:ascii="Calibri" w:cs="Calibri" w:eastAsia="Calibri" w:hAnsi="Calibri"/>
          <w:i/>
          <w:iCs/>
          <w:color w:val="444444"/>
          <w:sz w:val="18"/>
          <w:szCs w:val="18"/>
        </w:rPr>
        <w:t xml:space="preserve">L</w:t>
      </w:r>
      <w:r>
        <w:rPr>
          <w:rFonts w:ascii="Calibri" w:cs="Calibri" w:eastAsia="Calibri" w:hAnsi="Calibri"/>
          <w:color w:val="444444"/>
          <w:sz w:val="18"/>
          <w:szCs w:val="18"/>
        </w:rPr>
        <w:t xml:space="preserve"> trading days of warm-up (the monthly HAR aggregate plus the network lookback), then the training, validation and test windows of Section 3.6. The horizon is one trading day: every forecast of day t draws only on information dated t−1 or earlier, and multi-step forecasting lies outside this design.</w:t>
      </w:r>
    </w:p>
    <w:p>
      <w:pPr>
        <w:pStyle w:val="Heading2"/>
        <w:spacing w:after="180" w:before="320"/>
      </w:pPr>
      <w:r>
        <w:rPr>
          <w:rFonts w:ascii="Calibri" w:cs="Calibri" w:eastAsia="Calibri" w:hAnsi="Calibri"/>
          <w:b/>
          <w:bCs/>
          <w:color w:val="111111"/>
          <w:sz w:val="26"/>
          <w:szCs w:val="26"/>
        </w:rPr>
        <w:t xml:space="preserve">3.3  Regime Identification</w:t>
      </w:r>
    </w:p>
    <w:p>
      <w:pPr>
        <w:spacing w:after="160" w:line="320"/>
        <w:jc w:val="both"/>
      </w:pPr>
      <w:r>
        <w:rPr>
          <w:rFonts w:ascii="Calibri" w:cs="Calibri" w:eastAsia="Calibri" w:hAnsi="Calibri"/>
          <w:color w:val="111111"/>
          <w:sz w:val="22"/>
          <w:szCs w:val="22"/>
        </w:rPr>
        <w:t xml:space="preserve">This stage produces the regime signal of Table 3.1: for every trading day, a distribution over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latent market states formed without reference to the future. Three requirements shape the estimator: unsupervised, since no labelled regimes exist; persistent, since a signal changing every few days injects noise into anything conditioned on it; and causal at the point of use. The standard instrument, a Gaussian-emission hidden Markov model estimated by maximum likelihood (Hamilton, 1989), fails the second — expectation-maximisation switches states faster than the data warrant (Nystrup, Lindström and Madsen, 2020). This design adopts their remedy of penalising switching directly, keeping the maximum-likelihood fit as the comparator. Over the state path {</w:t>
      </w:r>
      <w:r>
        <w:rPr>
          <w:rFonts w:ascii="Calibri" w:cs="Calibri" w:eastAsia="Calibri" w:hAnsi="Calibri"/>
          <w:i/>
          <w:iCs/>
          <w:color w:val="111111"/>
          <w:sz w:val="22"/>
          <w:szCs w:val="22"/>
        </w:rPr>
        <w:t xml:space="preserve">s</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and parameters {</w:t>
      </w:r>
      <w:r>
        <w:rPr>
          <w:rFonts w:ascii="Calibri" w:cs="Calibri" w:eastAsia="Calibri" w:hAnsi="Calibri"/>
          <w:i/>
          <w:iCs/>
          <w:color w:val="111111"/>
          <w:sz w:val="22"/>
          <w:szCs w:val="22"/>
        </w:rPr>
        <w:t xml:space="preserve">θ</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it minimises</w:t>
      </w:r>
    </w:p>
    <w:p>
      <w:pPr>
        <w:tabs>
          <w:tab w:val="center" w:pos="4513"/>
          <w:tab w:val="right" w:pos="9026"/>
        </w:tabs>
        <w:spacing w:after="220" w:before="220" w:line="320"/>
      </w:pPr>
      <w:r>
        <w:rPr>
          <w:sz w:val="22"/>
          <w:szCs w:val="22"/>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c</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z</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θ</w:t>
      </w:r>
      <w:r>
        <w:rPr>
          <w:rFonts w:ascii="Cambria Math" w:cs="Cambria Math" w:eastAsia="Cambria Math" w:hAnsi="Cambria Math"/>
          <w:i/>
          <w:iCs/>
          <w:color w:val="111111"/>
          <w:sz w:val="24"/>
          <w:szCs w:val="24"/>
          <w:vertAlign w:val="subscript"/>
        </w:rPr>
        <w:t xml:space="preserve">sₜ</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λ</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t=2</w:t>
      </w:r>
      <w:r>
        <w:rPr>
          <w:rFonts w:ascii="Cambria Math" w:cs="Cambria Math" w:eastAsia="Cambria Math" w:hAnsi="Cambria Math"/>
          <w:i/>
          <w:iCs/>
          <w:color w:val="111111"/>
          <w:sz w:val="20"/>
          <w:szCs w:val="20"/>
          <w:vertAlign w:val="superscript"/>
        </w:rPr>
        <w:t xml:space="preserve">T</w:t>
      </w:r>
      <w:r>
        <w:rPr>
          <w:rFonts w:ascii="Cambria Math" w:cs="Cambria Math" w:eastAsia="Cambria Math" w:hAnsi="Cambria Math"/>
          <w:color w:val="111111"/>
          <w:sz w:val="24"/>
          <w:szCs w:val="24"/>
        </w:rPr>
        <w:t xml:space="preserve"> 1{</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s</w:t>
      </w:r>
      <w:r>
        <w:rPr>
          <w:rFonts w:ascii="Cambria Math" w:cs="Cambria Math" w:eastAsia="Cambria Math" w:hAnsi="Cambria Math"/>
          <w:i/>
          <w:iCs/>
          <w:color w:val="111111"/>
          <w:sz w:val="24"/>
          <w:szCs w:val="24"/>
          <w:vertAlign w:val="subscript"/>
        </w:rPr>
        <w:t xml:space="preserve">t−1</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(3.2)</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z</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is the standardised regime feature vector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the number of days in the estimation window, </w:t>
      </w:r>
      <w:r>
        <w:rPr>
          <w:rFonts w:ascii="Calibri" w:cs="Calibri" w:eastAsia="Calibri" w:hAnsi="Calibri"/>
          <w:i/>
          <w:iCs/>
          <w:color w:val="111111"/>
          <w:sz w:val="22"/>
          <w:szCs w:val="22"/>
        </w:rPr>
        <w:t xml:space="preserve">s</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 {1, …,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its state, </w:t>
      </w:r>
      <w:r>
        <w:rPr>
          <w:rFonts w:ascii="Calibri" w:cs="Calibri" w:eastAsia="Calibri" w:hAnsi="Calibri"/>
          <w:i/>
          <w:iCs/>
          <w:color w:val="111111"/>
          <w:sz w:val="22"/>
          <w:szCs w:val="22"/>
        </w:rPr>
        <w:t xml:space="preserve">θ</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the Gaussian mean and covariance of state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c</w:t>
      </w:r>
      <w:r>
        <w:rPr>
          <w:rFonts w:ascii="Calibri" w:cs="Calibri" w:eastAsia="Calibri" w:hAnsi="Calibri"/>
          <w:color w:val="111111"/>
          <w:sz w:val="22"/>
          <w:szCs w:val="22"/>
        </w:rPr>
        <w:t xml:space="preserve"> the Gaussian negative log-likelihood, 1{·} the indicator and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the penalty charged whenever the state changes. The feature vector is deliberately minimal — the daily close-to-close log return, standardised on training rows only — which is the simple Gaussian emission Chapter 2 §2.4 argues for. The penalty carries the argument: at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the objective is atemporal clustering, and as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grows the fit buys persistence at the cost of responsiveness. Coordinate descent minimises it; the resulting path then serves as a route to an HMM, whose forward filter yields the filtered posterior </w:t>
      </w:r>
      <w:r>
        <w:rPr>
          <w:rFonts w:ascii="Calibri" w:cs="Calibri" w:eastAsia="Calibri" w:hAnsi="Calibri"/>
          <w:i/>
          <w:iCs/>
          <w:color w:val="111111"/>
          <w:sz w:val="22"/>
          <w:szCs w:val="22"/>
        </w:rPr>
        <w:t xml:space="preserve">ξ</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 </w:t>
      </w:r>
      <w:r>
        <w:rPr>
          <w:rFonts w:ascii="Calibri" w:cs="Calibri" w:eastAsia="Calibri" w:hAnsi="Calibri"/>
          <w:i/>
          <w:iCs/>
          <w:color w:val="111111"/>
          <w:sz w:val="22"/>
          <w:szCs w:val="22"/>
        </w:rPr>
        <w:t xml:space="preserve">P(s</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 | z</w:t>
      </w:r>
      <w:r>
        <w:rPr>
          <w:rFonts w:ascii="Calibri" w:cs="Calibri" w:eastAsia="Calibri" w:hAnsi="Calibri"/>
          <w:i/>
          <w:iCs/>
          <w:color w:val="111111"/>
          <w:sz w:val="19"/>
          <w:szCs w:val="19"/>
          <w:vertAlign w:val="subscript"/>
        </w:rPr>
        <w:t xml:space="preserve">1</w:t>
      </w:r>
      <w:r>
        <w:rPr>
          <w:rFonts w:ascii="Calibri" w:cs="Calibri" w:eastAsia="Calibri" w:hAnsi="Calibri"/>
          <w:i/>
          <w:iCs/>
          <w:color w:val="111111"/>
          <w:sz w:val="22"/>
          <w:szCs w:val="22"/>
        </w:rPr>
        <w:t>, …, z</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w:t>
      </w:r>
      <w:r>
        <w:rPr>
          <w:rFonts w:ascii="Calibri" w:cs="Calibri" w:eastAsia="Calibri" w:hAnsi="Calibri"/>
          <w:color w:val="111111"/>
          <w:sz w:val="22"/>
          <w:szCs w:val="22"/>
        </w:rPr>
        <w:t xml:space="preserve"> carrying the confidence the mixture of Section 3.4 needs. Causality is enforced at three points: the state model sees training rows only, the posterior used downstream is filtered rather than smoothed, and the signal is lagged one day wherever it enters a forecasting model.</w:t>
      </w:r>
    </w:p>
    <w:p>
      <w:pPr>
        <w:spacing w:after="160" w:line="320"/>
        <w:jc w:val="both"/>
      </w:pPr>
      <w:r>
        <w:rPr>
          <w:rFonts w:ascii="Calibri" w:cs="Calibri" w:eastAsia="Calibri" w:hAnsi="Calibri"/>
          <w:color w:val="111111"/>
          <w:sz w:val="22"/>
          <w:szCs w:val="22"/>
        </w:rPr>
        <w:t>The state count is fixed rather than fitted: three states — calm, transitional and crisis — are set in advance on the interpretability grounds of Chapter 2 §2.4, a richer space diluting interpretation and inviting overfitting at this sample size. An information criterion over a small grid of candidate counts is reported as a sensitivity rather than used as the selector: the two estimators of this section need not agree on it, and letting a criterion decide the count once the downstream models exist would reopen every choice made conditional on it. Chapter 4 reports the grid, the criterion's values and where the estimators disagree.</w:t>
      </w:r>
    </w:p>
    <w:p>
      <w:pPr>
        <w:spacing w:after="160" w:line="320"/>
        <w:jc w:val="both"/>
      </w:pPr>
      <w:r>
        <w:rPr>
          <w:rFonts w:ascii="Calibri" w:cs="Calibri" w:eastAsia="Calibri" w:hAnsi="Calibri"/>
          <w:color w:val="111111"/>
          <w:sz w:val="22"/>
          <w:szCs w:val="22"/>
        </w:rPr>
        <w:t xml:space="preserve">Likelihood cannot select the penalty, always preferring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 0 and so returning the pathology it exists to remove. Selection applies a stated rule to a stated grid — the smallest </w:t>
      </w:r>
      <w:r>
        <w:rPr>
          <w:rFonts w:ascii="Calibri" w:cs="Calibri" w:eastAsia="Calibri" w:hAnsi="Calibri"/>
          <w:i/>
          <w:iCs/>
          <w:color w:val="111111"/>
          <w:sz w:val="22"/>
          <w:szCs w:val="22"/>
        </w:rPr>
        <w:t xml:space="preserve">λ</w:t>
      </w:r>
      <w:r>
        <w:rPr>
          <w:rFonts w:ascii="Calibri" w:cs="Calibri" w:eastAsia="Calibri" w:hAnsi="Calibri"/>
          <w:color w:val="111111"/>
          <w:sz w:val="22"/>
          <w:szCs w:val="22"/>
        </w:rPr>
        <w:t xml:space="preserve"> whose mean regime duration clears a persistence floor, on training rows only — with grid, floor and rule fixed before any downstream result existed, so the penalty cannot be tuned to the answer; a finer sweep is published so the grid's influence is visible.</w:t>
      </w:r>
    </w:p>
    <w:p>
      <w:pPr>
        <w:pStyle w:val="Heading2"/>
        <w:spacing w:after="180" w:before="320"/>
      </w:pPr>
      <w:r>
        <w:rPr>
          <w:rFonts w:ascii="Calibri" w:cs="Calibri" w:eastAsia="Calibri" w:hAnsi="Calibri"/>
          <w:b/>
          <w:bCs/>
          <w:color w:val="111111"/>
          <w:sz w:val="26"/>
          <w:szCs w:val="26"/>
        </w:rPr>
        <w:t xml:space="preserve">3.4  Model Specification</w:t>
      </w:r>
    </w:p>
    <w:p>
      <w:pPr>
        <w:spacing w:after="160" w:line="320"/>
        <w:jc w:val="both"/>
      </w:pPr>
      <w:r>
        <w:rPr>
          <w:rFonts w:ascii="Calibri" w:cs="Calibri" w:eastAsia="Calibri" w:hAnsi="Calibri"/>
          <w:color w:val="111111"/>
          <w:sz w:val="22"/>
          <w:szCs w:val="22"/>
        </w:rPr>
        <w:t>What varies across the models of Table 3.1 is the information each may use and the form each may take, one at a time. Three econometric baselines each close off a competing explanation, alongside a reference floor; Table 3.3 states what each rules out.</w:t>
      </w:r>
    </w:p>
    <w:p>
      <w:pPr>
        <w:spacing w:after="90" w:before="200"/>
      </w:pPr>
      <w:r>
        <w:rPr>
          <w:rFonts w:ascii="Calibri" w:cs="Calibri" w:eastAsia="Calibri" w:hAnsi="Calibri"/>
          <w:b/>
          <w:bCs/>
          <w:color w:val="111111"/>
          <w:sz w:val="19"/>
          <w:szCs w:val="19"/>
        </w:rPr>
        <w:t>Table 3.3  The baseline set and what each is there to rule out. The conditional-variance models take open-to-close returns, matching the session-only realised measure; a close-to-close return embeds the overnight gap, which the ratio loss of Section 3.7 would read as forecast error.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0"/>
        <w:gridCol w:w="1500"/>
        <w:gridCol w:w="4406"/>
        <w:gridCol w:w="1500"/>
      </w:tblGrid>
      <w:tr>
        <w:trPr>
          <w:cantSplit/>
          <w:tblHeader/>
        </w:trPr>
        <w:tc>
          <w:tcPr>
            <w:tcW w:type="dxa" w:w="16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Source</w:t>
            </w:r>
          </w:p>
        </w:tc>
        <w:tc>
          <w:tcPr>
            <w:tcW w:type="dxa" w:w="44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rules out</w:t>
            </w:r>
          </w:p>
        </w:tc>
        <w:tc>
          <w:tcPr>
            <w:tcW w:type="dxa" w:w="15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Bollerslev (1986)</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a return-driven variance recursion already suffices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Nelson (1991)</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the gain is the leverage asymmetry the symmetric model omits</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Corsi (2009)</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That linear long memory is all the problem needs — the benchmark to beat</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Baseline</w:t>
            </w:r>
          </w:p>
        </w:tc>
      </w:tr>
      <w:tr>
        <w:trPr>
          <w:cantSplit/>
          <w:tblHeader w:val="false"/>
        </w:trPr>
        <w:tc>
          <w:tcPr>
            <w:tcW w:type="dxa" w:w="16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Random walk in variance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t>
            </w:r>
          </w:p>
        </w:tc>
        <w:tc>
          <w:tcPr>
            <w:tcW w:type="dxa" w:w="44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Nothing: it measures persistence alone</w:t>
            </w:r>
          </w:p>
        </w:tc>
        <w:tc>
          <w:tcPr>
            <w:tcW w:type="dxa" w:w="15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r>
    </w:tbl>
    <w:p>
      <w:pPr>
        <w:spacing w:after="160" w:line="320"/>
        <w:jc w:val="both"/>
      </w:pPr>
      <w:r>
        <w:rPr>
          <w:rFonts w:ascii="Calibri" w:cs="Calibri" w:eastAsia="Calibri" w:hAnsi="Calibri"/>
          <w:color w:val="111111"/>
          <w:sz w:val="22"/>
          <w:szCs w:val="22"/>
        </w:rPr>
        <w:t xml:space="preserve">The deep architecture is a long short-term memory network (Hochreiter and Schmidhuber, 1997), retained for the reasons given in Chapter 2: gated recurrence imposes a strong temporal inductive bias suited to the modest effective sample sizes of daily financial data. Attention — the Transformer (Vaswani et al., 2017) and the Temporal Fusion Transformer (Lim et al., 2021) — was rejected on evidence rather than conservatism: it is data-hungry, precisely where a strong inductive bias is most valuable (Lim and Zohren, 2021), and recent benchmarks find simple recurrent models matching elaborate transformers (Zeng et al., 2023). The claim is not that attention cannot work here, but that at this sample size it is the weaker prior. Each network passes a window of the previous </w:t>
      </w:r>
      <w:r>
        <w:rPr>
          <w:rFonts w:ascii="Calibri" w:cs="Calibri" w:eastAsia="Calibri" w:hAnsi="Calibri"/>
          <w:i/>
          <w:iCs/>
          <w:color w:val="111111"/>
          <w:sz w:val="22"/>
          <w:szCs w:val="22"/>
        </w:rPr>
        <w:t xml:space="preserve">L</w:t>
      </w:r>
      <w:r>
        <w:rPr>
          <w:rFonts w:ascii="Calibri" w:cs="Calibri" w:eastAsia="Calibri" w:hAnsi="Calibri"/>
          <w:color w:val="111111"/>
          <w:sz w:val="22"/>
          <w:szCs w:val="22"/>
        </w:rPr>
        <w:t xml:space="preserve"> trading days through one recurrent layer to a linear output, estimated by mean squared error on standardised log realised variance.</w:t>
      </w:r>
    </w:p>
    <w:p>
      <w:pPr>
        <w:spacing w:after="160" w:line="320"/>
        <w:jc w:val="both"/>
      </w:pPr>
      <w:r>
        <w:rPr>
          <w:rFonts w:ascii="Calibri" w:cs="Calibri" w:eastAsia="Calibri" w:hAnsi="Calibri"/>
          <w:color w:val="111111"/>
          <w:sz w:val="22"/>
          <w:szCs w:val="22"/>
        </w:rPr>
        <w:t>Two ablations vary that information set while holding the architecture fixed, because a win over HAR-RV would otherwise be unattributable. The first restricts the input to realised-volatility history alone, HAR-RV's own information source: whatever advantage survives is the architecture rather than the extra return. The match is on the source, not its construction — the network receives raw daily lags across its lookback window, HAR-RV daily, weekly and monthly aggregates reaching twenty-two days — so unless the selected window is at least that long the network works from less history, which makes it the more conservative control; Chapter 4 reports the window. The second adds an implied-volatility index, the auxiliary series of Table 3.2, reported apart from the like-for-like comparison rather than entered into it: option-implied information is available to no other model here, so including it would compare unequal information sets and price the feature as though it were the method.</w:t>
      </w:r>
    </w:p>
    <w:p>
      <w:pPr>
        <w:spacing w:after="160" w:line="320"/>
        <w:jc w:val="both"/>
      </w:pPr>
      <w:r>
        <w:rPr>
          <w:rFonts w:ascii="Calibri" w:cs="Calibri" w:eastAsia="Calibri" w:hAnsi="Calibri"/>
          <w:color w:val="111111"/>
          <w:sz w:val="22"/>
          <w:szCs w:val="22"/>
        </w:rPr>
        <w:t>Two architectures condition that network on the regime signal, differing in where it enters. Regime as feature appends the lagged posterior to the input vector. A mixture of experts (Jacobs et al., 1991) carries one network per state and recombines their forecasts by the posterior acting as a soft gate:</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k=1</w:t>
      </w:r>
      <w:r>
        <w:rPr>
          <w:rFonts w:ascii="Cambria Math" w:cs="Cambria Math" w:eastAsia="Cambria Math" w:hAnsi="Cambria Math"/>
          <w:i/>
          <w:iCs/>
          <w:color w:val="111111"/>
          <w:sz w:val="20"/>
          <w:szCs w:val="20"/>
          <w:vertAlign w:val="superscript"/>
        </w:rPr>
        <w:t xml:space="preserve">K</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f</w:t>
      </w:r>
      <w:r>
        <w:rPr>
          <w:rFonts w:ascii="Cambria Math" w:cs="Cambria Math" w:eastAsia="Cambria Math" w:hAnsi="Cambria Math"/>
          <w:i/>
          <w:iCs/>
          <w:color w:val="111111"/>
          <w:sz w:val="24"/>
          <w:szCs w:val="24"/>
          <w:vertAlign w:val="subscript"/>
        </w:rPr>
        <w:t xml:space="preserve">k</w:t>
      </w:r>
      <w:r>
        <w:rPr>
          <w:rFonts w:ascii="Cambria Math" w:cs="Cambria Math" w:eastAsia="Cambria Math" w:hAnsi="Cambria Math"/>
          <w:color w:val="111111"/>
          <w:sz w:val="24"/>
          <w:szCs w:val="24"/>
        </w:rPr>
        <w:t xml:space="preserve">(</w:t>
      </w:r>
      <w:r>
        <w:rPr>
          <w:rFonts w:ascii="Cambria Math" w:cs="Cambria Math" w:eastAsia="Cambria Math" w:hAnsi="Cambria Math"/>
          <w:i/>
          <w:iCs/>
          <w:color w:val="111111"/>
          <w:sz w:val="24"/>
          <w:szCs w:val="24"/>
        </w:rPr>
        <w:t xml:space="preserve">x</w:t>
      </w:r>
      <w:r>
        <w:rPr>
          <w:rFonts w:ascii="Cambria Math" w:cs="Cambria Math" w:eastAsia="Cambria Math" w:hAnsi="Cambria Math"/>
          <w:i/>
          <w:iCs/>
          <w:color w:val="111111"/>
          <w:sz w:val="24"/>
          <w:szCs w:val="24"/>
          <w:vertAlign w:val="subscript"/>
        </w:rPr>
        <w:t xml:space="preserve">t−L:t−1</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g</w:t>
      </w:r>
      <w:r>
        <w:rPr>
          <w:rFonts w:ascii="Cambria Math" w:cs="Cambria Math" w:eastAsia="Cambria Math" w:hAnsi="Cambria Math"/>
          <w:i/>
          <w:iCs/>
          <w:color w:val="111111"/>
          <w:sz w:val="24"/>
          <w:szCs w:val="24"/>
          <w:vertAlign w:val="subscript"/>
        </w:rPr>
        <w:t xml:space="preserve">k,t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ξ</w:t>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t>k,t−1</w:t>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r>
      <w:r>
        <w:rPr>
          <w:rFonts w:ascii="Cambria Math" w:cs="Cambria Math" w:eastAsia="Cambria Math" w:hAnsi="Cambria Math"/>
          <w:color w:val="111111"/>
          <w:sz w:val="24"/>
          <w:szCs w:val="24"/>
        </w:rPr>
      </w:r>
      <w:r>
        <w:rPr>
          <w:rFonts w:ascii="Cambria Math" w:cs="Cambria Math" w:eastAsia="Cambria Math" w:hAnsi="Cambria Math"/>
          <w:i/>
          <w:iCs/>
          <w:color w:val="111111"/>
          <w:sz w:val="24"/>
          <w:szCs w:val="24"/>
        </w:rPr>
      </w:r>
      <w:r>
        <w:rPr>
          <w:rFonts w:ascii="Cambria Math" w:cs="Cambria Math" w:eastAsia="Cambria Math" w:hAnsi="Cambria Math"/>
          <w:i/>
          <w:iCs/>
          <w:color w:val="111111"/>
          <w:sz w:val="24"/>
          <w:szCs w:val="24"/>
          <w:vertAlign w:val="subscript"/>
        </w:rPr>
      </w:r>
      <w:r>
        <w:rPr>
          <w:rFonts w:ascii="Cambria Math" w:cs="Cambria Math" w:eastAsia="Cambria Math" w:hAnsi="Cambria Math"/>
          <w:color w:val="111111"/>
          <w:sz w:val="24"/>
          <w:szCs w:val="24"/>
        </w:rPr>
      </w:r>
      <w:r>
        <w:rPr>
          <w:rFonts w:ascii="Calibri" w:cs="Calibri" w:eastAsia="Calibri" w:hAnsi="Calibri"/>
          <w:sz w:val="22"/>
          <w:szCs w:val="22"/>
        </w:rPr>
        <w:t xml:space="preserve">	(3.3)</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f</w:t>
      </w:r>
      <w:r>
        <w:rPr>
          <w:rFonts w:ascii="Calibri" w:cs="Calibri" w:eastAsia="Calibri" w:hAnsi="Calibri"/>
          <w:i/>
          <w:iCs/>
          <w:color w:val="111111"/>
          <w:sz w:val="19"/>
          <w:szCs w:val="19"/>
          <w:vertAlign w:val="subscript"/>
        </w:rPr>
        <w:t xml:space="preserve">k</w:t>
      </w:r>
      <w:r>
        <w:rPr>
          <w:rFonts w:ascii="Calibri" w:cs="Calibri" w:eastAsia="Calibri" w:hAnsi="Calibri"/>
          <w:color w:val="111111"/>
          <w:sz w:val="22"/>
          <w:szCs w:val="22"/>
        </w:rPr>
        <w:t xml:space="preserve"> is the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-th expert, </w:t>
      </w:r>
      <w:r>
        <w:rPr>
          <w:rFonts w:ascii="Calibri" w:cs="Calibri" w:eastAsia="Calibri" w:hAnsi="Calibri"/>
          <w:i/>
          <w:iCs/>
          <w:color w:val="111111"/>
          <w:sz w:val="22"/>
          <w:szCs w:val="22"/>
        </w:rPr>
        <w:t xml:space="preserve">x</w:t>
      </w:r>
      <w:r>
        <w:rPr>
          <w:rFonts w:ascii="Calibri" w:cs="Calibri" w:eastAsia="Calibri" w:hAnsi="Calibri"/>
          <w:color w:val="111111"/>
          <w:sz w:val="22"/>
          <w:szCs w:val="22"/>
        </w:rPr>
        <w:t xml:space="preserve"> the network's input window of </w:t>
      </w:r>
      <w:r>
        <w:rPr>
          <w:rFonts w:ascii="Calibri" w:cs="Calibri" w:eastAsia="Calibri" w:hAnsi="Calibri"/>
          <w:i/>
          <w:iCs/>
          <w:color w:val="111111"/>
          <w:sz w:val="22"/>
          <w:szCs w:val="22"/>
        </w:rPr>
        <w:t xml:space="preserve">L</w:t>
      </w:r>
      <w:r>
        <w:rPr>
          <w:rFonts w:ascii="Calibri" w:cs="Calibri" w:eastAsia="Calibri" w:hAnsi="Calibri"/>
          <w:color w:val="111111"/>
          <w:sz w:val="22"/>
          <w:szCs w:val="22"/>
        </w:rPr>
        <w:t xml:space="preserve"> days ending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fitted conditional mean of log realised variance the mixture returns, and </w:t>
      </w:r>
      <w:r>
        <w:rPr>
          <w:rFonts w:ascii="Calibri" w:cs="Calibri" w:eastAsia="Calibri" w:hAnsi="Calibri"/>
          <w:i/>
          <w:iCs/>
          <w:color w:val="111111"/>
          <w:sz w:val="22"/>
          <w:szCs w:val="22"/>
        </w:rPr>
        <w:t xml:space="preserve">g</w:t>
      </w:r>
      <w:r>
        <w:rPr>
          <w:rFonts w:ascii="Calibri" w:cs="Calibri" w:eastAsia="Calibri" w:hAnsi="Calibri"/>
          <w:i/>
          <w:iCs/>
          <w:color w:val="111111"/>
          <w:sz w:val="19"/>
          <w:szCs w:val="19"/>
          <w:vertAlign w:val="subscript"/>
        </w:rPr>
        <w:t xml:space="preserve">k,t</w:t>
      </w:r>
      <w:r>
        <w:rPr>
          <w:rFonts w:ascii="Calibri" w:cs="Calibri" w:eastAsia="Calibri" w:hAnsi="Calibri"/>
          <w:color w:val="111111"/>
          <w:sz w:val="22"/>
          <w:szCs w:val="22"/>
        </w:rPr>
        <w:t xml:space="preserve"> the gate weight on expert </w:t>
      </w:r>
      <w:r>
        <w:rPr>
          <w:rFonts w:ascii="Calibri" w:cs="Calibri" w:eastAsia="Calibri" w:hAnsi="Calibri"/>
          <w:i/>
          <w:iCs/>
          <w:color w:val="111111"/>
          <w:sz w:val="22"/>
          <w:szCs w:val="22"/>
        </w:rPr>
        <w:t xml:space="preserve">k</w:t>
      </w:r>
      <w:r>
        <w:rPr>
          <w:rFonts w:ascii="Calibri" w:cs="Calibri" w:eastAsia="Calibri" w:hAnsi="Calibri"/>
          <w:color w:val="111111"/>
          <w:sz w:val="22"/>
          <w:szCs w:val="22"/>
        </w:rPr>
        <w:t xml:space="preserve"> for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taken as the k-th element of the filtered posterior of Section 3.3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which makes the mixture causal. Crucially the signal enters only through the gate, so the experts see exactly what the unconditional network sees: the first architecture varies the information and fixes the form, the second the reverse.</w:t>
      </w:r>
    </w:p>
    <w:p>
      <w:pPr>
        <w:spacing w:after="160" w:line="320" w:lineRule="auto"/>
        <w:jc w:val="both"/>
      </w:pPr>
      <w:r>
        <w:rPr>
          <w:rFonts w:ascii="Calibri" w:hAnsi="Calibri"/>
          <w:color w:val="111111"/>
          <w:sz w:val="22"/>
        </w:rPr>
        <w:t xml:space="preserve">The gate also enters training, as a weight rather than a partition: every expert sees every window, weighted by its own gate, so expert </w:t>
      </w:r>
      <w:r>
        <w:rPr>
          <w:rFonts w:ascii="Calibri" w:hAnsi="Calibri"/>
          <w:i/>
          <w:color w:val="111111"/>
          <w:sz w:val="22"/>
        </w:rPr>
        <w:t>k</w:t>
      </w:r>
      <w:r>
        <w:rPr>
          <w:rFonts w:ascii="Calibri" w:hAnsi="Calibri"/>
          <w:color w:val="111111"/>
          <w:sz w:val="22"/>
        </w:rPr>
        <w:t xml:space="preserve"> minimises</w:t>
      </w:r>
    </w:p>
    <w:p>
      <w:pPr>
        <w:tabs>
          <w:tab w:pos="4513" w:val="center"/>
          <w:tab w:pos="9026" w:val="right"/>
        </w:tabs>
        <w:spacing w:after="220" w:line="320" w:lineRule="auto"/>
      </w:pPr>
      <w:r>
        <w:rPr>
          <w:sz w:val="22"/>
        </w:rPr>
        <w:tab/>
      </w:r>
      <w:r>
        <w:rPr>
          <w:rFonts w:ascii="Cambria Math" w:hAnsi="Cambria Math"/>
          <w:i/>
          <w:color w:val="111111"/>
          <w:sz w:val="24"/>
        </w:rPr>
        <w:t>J</w:t>
      </w:r>
      <w:r>
        <w:rPr>
          <w:rFonts w:ascii="Cambria Math" w:hAnsi="Cambria Math"/>
          <w:i/>
          <w:color w:val="111111"/>
          <w:sz w:val="24"/>
          <w:vertAlign w:val="subscript"/>
        </w:rPr>
        <w:t>k</w:t>
      </w:r>
      <w:r>
        <w:rPr>
          <w:rFonts w:ascii="Cambria Math" w:hAnsi="Cambria Math"/>
          <w:color w:val="111111"/>
          <w:sz w:val="24"/>
        </w:rPr>
        <w:t xml:space="preserve">  =  </w:t>
      </w:r>
      <w:r>
        <w:rPr>
          <w:rFonts w:ascii="Cambria Math" w:hAnsi="Cambria Math"/>
          <w:color w:val="111111"/>
          <w:sz w:val="24"/>
        </w:rPr>
        <w:t>Σ</w:t>
      </w:r>
      <w:r>
        <w:rPr>
          <w:rFonts w:ascii="Cambria Math" w:hAnsi="Cambria Math"/>
          <w:i w:val="0"/>
          <w:color w:val="111111"/>
          <w:sz w:val="20"/>
          <w:vertAlign w:val="subscript"/>
        </w:rPr>
        <w:t>t</w:t>
      </w:r>
      <w:r>
        <w:rPr>
          <w:rFonts w:ascii="Cambria Math" w:hAnsi="Cambria Math"/>
          <w:color w:val="111111"/>
          <w:sz w:val="24"/>
        </w:rPr>
        <w:t xml:space="preserve"> </w:t>
      </w:r>
      <w:r>
        <w:rPr>
          <w:rFonts w:ascii="Cambria Math" w:hAnsi="Cambria Math"/>
          <w:i/>
          <w:color w:val="111111"/>
          <w:sz w:val="24"/>
        </w:rPr>
        <w:t>w</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i/>
          <w:color w:val="111111"/>
          <w:sz w:val="24"/>
        </w:rPr>
        <w:t>y</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i/>
          <w:color w:val="111111"/>
          <w:sz w:val="24"/>
        </w:rPr>
        <w:t>f</w:t>
      </w:r>
      <w:r>
        <w:rPr>
          <w:rFonts w:ascii="Cambria Math" w:hAnsi="Cambria Math"/>
          <w:i/>
          <w:color w:val="111111"/>
          <w:sz w:val="24"/>
          <w:vertAlign w:val="subscript"/>
        </w:rPr>
        <w:t>k</w:t>
      </w:r>
      <w:r>
        <w:rPr>
          <w:rFonts w:ascii="Cambria Math" w:hAnsi="Cambria Math"/>
          <w:color w:val="111111"/>
          <w:sz w:val="24"/>
        </w:rPr>
        <w:t>(</w:t>
      </w:r>
      <w:r>
        <w:rPr>
          <w:rFonts w:ascii="Cambria Math" w:hAnsi="Cambria Math"/>
          <w:i/>
          <w:color w:val="111111"/>
          <w:sz w:val="24"/>
        </w:rPr>
        <w:t>x</w:t>
      </w:r>
      <w:r>
        <w:rPr>
          <w:rFonts w:ascii="Cambria Math" w:hAnsi="Cambria Math"/>
          <w:i/>
          <w:color w:val="111111"/>
          <w:sz w:val="24"/>
          <w:vertAlign w:val="subscript"/>
        </w:rPr>
        <w:t>t−L:t−1</w:t>
      </w:r>
      <w:r>
        <w:rPr>
          <w:rFonts w:ascii="Cambria Math" w:hAnsi="Cambria Math"/>
          <w:color w:val="111111"/>
          <w:sz w:val="24"/>
        </w:rPr>
        <w:t>)</w:t>
      </w:r>
      <w:r>
        <w:rPr>
          <w:rFonts w:ascii="Cambria Math" w:hAnsi="Cambria Math"/>
          <w:color w:val="111111"/>
          <w:sz w:val="24"/>
        </w:rPr>
        <w:t xml:space="preserve"> )</w:t>
      </w:r>
      <w:r>
        <w:rPr>
          <w:rFonts w:ascii="Cambria Math" w:hAnsi="Cambria Math"/>
          <w:color w:val="111111"/>
          <w:sz w:val="20"/>
          <w:vertAlign w:val="superscript"/>
        </w:rPr>
        <w:t>2</w:t>
      </w:r>
      <w:r>
        <w:rPr>
          <w:rFonts w:ascii="Cambria Math" w:hAnsi="Cambria Math"/>
          <w:color w:val="111111"/>
          <w:sz w:val="24"/>
        </w:rPr>
        <w:t xml:space="preserve"> ,        </w:t>
      </w:r>
      <w:r>
        <w:rPr>
          <w:rFonts w:ascii="Cambria Math" w:hAnsi="Cambria Math"/>
          <w:i/>
          <w:color w:val="111111"/>
          <w:sz w:val="24"/>
        </w:rPr>
        <w:t>w</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i/>
          <w:color w:val="111111"/>
          <w:sz w:val="24"/>
        </w:rPr>
        <w:t>g</w:t>
      </w:r>
      <w:r>
        <w:rPr>
          <w:rFonts w:ascii="Cambria Math" w:hAnsi="Cambria Math"/>
          <w:i/>
          <w:color w:val="111111"/>
          <w:sz w:val="24"/>
          <w:vertAlign w:val="subscript"/>
        </w:rPr>
        <w:t>k,t</w:t>
      </w:r>
      <w:r>
        <w:rPr>
          <w:rFonts w:ascii="Cambria Math" w:hAnsi="Cambria Math"/>
          <w:color w:val="111111"/>
          <w:sz w:val="24"/>
        </w:rPr>
        <w:t xml:space="preserve"> / </w:t>
      </w:r>
      <w:r>
        <w:rPr>
          <w:rFonts w:ascii="Cambria Math" w:hAnsi="Cambria Math"/>
          <w:color w:val="111111"/>
          <w:sz w:val="24"/>
        </w:rPr>
        <w:t>Σ</w:t>
      </w:r>
      <w:r>
        <w:rPr>
          <w:rFonts w:ascii="Cambria Math" w:hAnsi="Cambria Math"/>
          <w:i w:val="0"/>
          <w:color w:val="111111"/>
          <w:sz w:val="20"/>
          <w:vertAlign w:val="subscript"/>
        </w:rPr>
        <w:t>t′</w:t>
      </w:r>
      <w:r>
        <w:rPr>
          <w:rFonts w:ascii="Cambria Math" w:hAnsi="Cambria Math"/>
          <w:color w:val="111111"/>
          <w:sz w:val="24"/>
        </w:rPr>
        <w:t xml:space="preserve"> </w:t>
      </w:r>
      <w:r>
        <w:rPr>
          <w:rFonts w:ascii="Cambria Math" w:hAnsi="Cambria Math"/>
          <w:i/>
          <w:color w:val="111111"/>
          <w:sz w:val="24"/>
        </w:rPr>
        <w:t>g</w:t>
      </w:r>
      <w:r>
        <w:rPr>
          <w:rFonts w:ascii="Cambria Math" w:hAnsi="Cambria Math"/>
          <w:i/>
          <w:color w:val="111111"/>
          <w:sz w:val="24"/>
          <w:vertAlign w:val="subscript"/>
        </w:rPr>
        <w:t>k,t′</w:t>
      </w:r>
      <w:r>
        <w:rPr>
          <w:rFonts w:ascii="Calibri" w:hAnsi="Calibri"/>
          <w:sz w:val="22"/>
        </w:rPr>
        <w:tab/>
        <w:t>(3.3b)</w:t>
      </w:r>
    </w:p>
    <w:p>
      <w:pPr>
        <w:spacing w:after="160" w:line="320" w:lineRule="auto"/>
        <w:jc w:val="both"/>
      </w:pPr>
      <w:r>
        <w:rPr>
          <w:rFonts w:ascii="Calibri" w:hAnsi="Calibri"/>
          <w:color w:val="111111"/>
          <w:sz w:val="22"/>
        </w:rPr>
        <w:t xml:space="preserve">where </w:t>
      </w:r>
      <w:r>
        <w:rPr>
          <w:rFonts w:ascii="Calibri" w:hAnsi="Calibri"/>
          <w:i/>
          <w:color w:val="111111"/>
          <w:sz w:val="22"/>
        </w:rPr>
        <w:t>J</w:t>
      </w:r>
      <w:r>
        <w:rPr>
          <w:rFonts w:ascii="Calibri" w:hAnsi="Calibri"/>
          <w:i/>
          <w:color w:val="111111"/>
          <w:sz w:val="19"/>
          <w:vertAlign w:val="subscript"/>
        </w:rPr>
        <w:t>k</w:t>
      </w:r>
      <w:r>
        <w:rPr>
          <w:rFonts w:ascii="Calibri" w:hAnsi="Calibri"/>
          <w:color w:val="111111"/>
          <w:sz w:val="22"/>
        </w:rPr>
        <w:t xml:space="preserve"> is expert </w:t>
      </w:r>
      <w:r>
        <w:rPr>
          <w:rFonts w:ascii="Calibri" w:hAnsi="Calibri"/>
          <w:i/>
          <w:color w:val="111111"/>
          <w:sz w:val="22"/>
        </w:rPr>
        <w:t>k</w:t>
      </w:r>
      <w:r>
        <w:rPr>
          <w:rFonts w:ascii="Calibri" w:hAnsi="Calibri"/>
          <w:color w:val="111111"/>
          <w:sz w:val="22"/>
        </w:rPr>
        <w:t xml:space="preserve">'s training objective, </w:t>
      </w:r>
      <w:r>
        <w:rPr>
          <w:rFonts w:ascii="Calibri" w:hAnsi="Calibri"/>
          <w:i/>
          <w:color w:val="111111"/>
          <w:sz w:val="22"/>
        </w:rPr>
        <w:t>y</w:t>
      </w:r>
      <w:r>
        <w:rPr>
          <w:rFonts w:ascii="Calibri" w:hAnsi="Calibri"/>
          <w:i/>
          <w:color w:val="111111"/>
          <w:sz w:val="19"/>
          <w:vertAlign w:val="subscript"/>
        </w:rPr>
        <w:t>t</w:t>
      </w:r>
      <w:r>
        <w:rPr>
          <w:rFonts w:ascii="Calibri" w:hAnsi="Calibri"/>
          <w:color w:val="111111"/>
          <w:sz w:val="22"/>
        </w:rPr>
        <w:t xml:space="preserve"> the log realised variance of day </w:t>
      </w:r>
      <w:r>
        <w:rPr>
          <w:rFonts w:ascii="Calibri" w:hAnsi="Calibri"/>
          <w:i/>
          <w:color w:val="111111"/>
          <w:sz w:val="22"/>
        </w:rPr>
        <w:t>t</w:t>
      </w:r>
      <w:r>
        <w:rPr>
          <w:rFonts w:ascii="Calibri" w:hAnsi="Calibri"/>
          <w:color w:val="111111"/>
          <w:sz w:val="22"/>
        </w:rPr>
        <w:t xml:space="preserve"> on the standardised scale the networks are fitted on, </w:t>
      </w:r>
      <w:r>
        <w:rPr>
          <w:rFonts w:ascii="Calibri" w:hAnsi="Calibri"/>
          <w:i/>
          <w:color w:val="111111"/>
          <w:sz w:val="22"/>
        </w:rPr>
        <w:t>w</w:t>
      </w:r>
      <w:r>
        <w:rPr>
          <w:rFonts w:ascii="Calibri" w:hAnsi="Calibri"/>
          <w:i/>
          <w:color w:val="111111"/>
          <w:sz w:val="19"/>
          <w:vertAlign w:val="subscript"/>
        </w:rPr>
        <w:t>k,t</w:t>
      </w:r>
      <w:r>
        <w:rPr>
          <w:rFonts w:ascii="Calibri" w:hAnsi="Calibri"/>
          <w:color w:val="111111"/>
          <w:sz w:val="22"/>
        </w:rPr>
        <w:t xml:space="preserve"> the gate weight of Equation 3.3 renormalised over the training windows, and </w:t>
      </w:r>
      <w:r>
        <w:rPr>
          <w:rFonts w:ascii="Calibri" w:hAnsi="Calibri"/>
          <w:i/>
          <w:color w:val="111111"/>
          <w:sz w:val="22"/>
        </w:rPr>
        <w:t>t′</w:t>
      </w:r>
      <w:r>
        <w:rPr>
          <w:rFonts w:ascii="Calibri" w:hAnsi="Calibri"/>
          <w:color w:val="111111"/>
          <w:sz w:val="22"/>
        </w:rPr>
        <w:t xml:space="preserve"> indexes those windows. Each day therefore contributes to every expert in proportion to how strongly its state was believed active at </w:t>
      </w:r>
      <w:r>
        <w:rPr>
          <w:rFonts w:ascii="Calibri" w:hAnsi="Calibri"/>
          <w:i/>
          <w:color w:val="111111"/>
          <w:sz w:val="22"/>
        </w:rPr>
        <w:t>t</w:t>
      </w:r>
      <w:r>
        <w:rPr>
          <w:rFonts w:ascii="Calibri" w:hAnsi="Calibri"/>
          <w:color w:val="111111"/>
          <w:sz w:val="22"/>
        </w:rPr>
        <w:t>−1, so the expert for the crisis state is not confined to crisis days but weights them most heavily; and Equation 3.4 below takes its residual variance from the mixture rather than from any single expert.</w:t>
      </w:r>
    </w:p>
    <w:p>
      <w:pPr>
        <w:spacing w:after="160" w:line="320"/>
        <w:jc w:val="both"/>
      </w:pPr>
      <w:r>
        <w:rPr>
          <w:rFonts w:ascii="Calibri" w:cs="Calibri" w:eastAsia="Calibri" w:hAnsi="Calibri"/>
          <w:color w:val="111111"/>
          <w:sz w:val="22"/>
          <w:szCs w:val="22"/>
        </w:rPr>
        <w:t xml:space="preserve">Every model estimated in logs needs one further step, exponentiating a fitted conditional mean returning a median while the losses of Section 3.7 are defined for a mean:</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t</w:t>
      </w:r>
      <w:r>
        <w:rPr>
          <w:rFonts w:ascii="Cambria Math" w:cs="Cambria Math" w:eastAsia="Cambria Math" w:hAnsi="Cambria Math"/>
          <w:color w:val="111111"/>
          <w:sz w:val="24"/>
          <w:szCs w:val="24"/>
        </w:rPr>
        <w:t xml:space="preserve">  =  exp(</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½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w:t>
      </w:r>
      <w:r>
        <w:rPr>
          <w:rFonts w:ascii="Calibri" w:cs="Calibri" w:eastAsia="Calibri" w:hAnsi="Calibri"/>
          <w:sz w:val="22"/>
          <w:szCs w:val="22"/>
        </w:rPr>
        <w:t xml:space="preserve">	(3.4)</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ĥ</w:t>
      </w:r>
      <w:r>
        <w:rPr>
          <w:rFonts w:ascii="Calibri" w:cs="Calibri" w:eastAsia="Calibri" w:hAnsi="Calibri"/>
          <w:i/>
          <w:iCs/>
          <w:color w:val="111111"/>
          <w:sz w:val="19"/>
          <w:szCs w:val="19"/>
          <w:vertAlign w:val="subscript"/>
        </w:rPr>
        <w:t>t</w:t>
      </w:r>
      <w:r>
        <w:rPr>
          <w:rFonts w:ascii="Calibri" w:cs="Calibri" w:eastAsia="Calibri" w:hAnsi="Calibri"/>
          <w:color w:val="111111"/>
          <w:sz w:val="22"/>
          <w:szCs w:val="22"/>
        </w:rPr>
        <w:t xml:space="preserve"> is the variance forecast of </w:t>
      </w:r>
      <w:r>
        <w:rPr>
          <w:rFonts w:ascii="Calibri" w:cs="Calibri" w:eastAsia="Calibri" w:hAnsi="Calibri"/>
          <w:i/>
          <w:iCs/>
          <w:color w:val="111111"/>
          <w:sz w:val="22"/>
          <w:szCs w:val="22"/>
        </w:rPr>
        <w:t xml:space="preserve">RV</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formed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fitted conditional mean of log realised variance, and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the variance of the log residuals on a held-out training tail. The correction is exact under Gaussian residuals; Duan's (1983) non-parametric smearing estimator is the alternative, buying robustness at the cost of retaining a residual sample. It applies to every model forecasting in logs, selective application biasing the comparison.</w:t>
      </w:r>
    </w:p>
    <w:p>
      <w:pPr>
        <w:spacing w:after="160" w:line="320"/>
        <w:jc w:val="both"/>
      </w:pPr>
      <w:r>
        <w:rPr>
          <w:rFonts w:ascii="Calibri" w:cs="Calibri" w:eastAsia="Calibri" w:hAnsi="Calibri"/>
          <w:color w:val="111111"/>
          <w:sz w:val="22"/>
          <w:szCs w:val="22"/>
        </w:rPr>
        <w:t>Appendix A.2 assembles the board these choices produce. Every model appearing in any later table is named there, with the information it may use and the single question its presence answers, so that no result is reported for a specification the reader has not been shown. Roles are those of Table 3.1; an ablation exists to attribute an effect rather than to compete, and a sensitivity is one forecast read a second way, never ranked.</w:t>
      </w:r>
    </w:p>
    <w:p>
      <w:pPr>
        <w:pStyle w:val="Heading2"/>
        <w:spacing w:after="180" w:before="320"/>
      </w:pPr>
      <w:r>
        <w:rPr>
          <w:rFonts w:ascii="Calibri" w:cs="Calibri" w:eastAsia="Calibri" w:hAnsi="Calibri"/>
          <w:b/>
          <w:bCs/>
          <w:color w:val="111111"/>
          <w:sz w:val="26"/>
          <w:szCs w:val="26"/>
        </w:rPr>
        <w:t xml:space="preserve">3.5  Uncertainty Quantification</w:t>
      </w:r>
    </w:p>
    <w:p>
      <w:pPr>
        <w:spacing w:after="160" w:line="320"/>
        <w:jc w:val="both"/>
      </w:pPr>
      <w:r>
        <w:rPr>
          <w:rFonts w:ascii="Calibri" w:cs="Calibri" w:eastAsia="Calibri" w:hAnsi="Calibri"/>
          <w:color w:val="111111"/>
          <w:sz w:val="22"/>
          <w:szCs w:val="22"/>
        </w:rPr>
        <w:t xml:space="preserve">RQ3 asks whether a forecast's stated uncertainty can be trusted, requiring each model to emit a predictive distribution rather than a number. Two approaches dominate, on incompatible foundations: an approximate-Bayesian method treating the weights as uncertain, and a distribution-free method estimating quantiles directly. Both are implemented, a calibration result holding under only one of them being a result about that method rather than about the pipeline.</w:t>
      </w:r>
    </w:p>
    <w:p>
      <w:pPr>
        <w:spacing w:after="160" w:line="320"/>
        <w:jc w:val="both"/>
      </w:pPr>
      <w:r>
        <w:rPr>
          <w:rFonts w:ascii="Calibri" w:cs="Calibri" w:eastAsia="Calibri" w:hAnsi="Calibri"/>
          <w:color w:val="111111"/>
          <w:sz w:val="22"/>
          <w:szCs w:val="22"/>
        </w:rPr>
        <w:t xml:space="preserve">The primary method is Monte Carlo dropout (Gal and Ghahramani, 2016). Training is unchanged from Section 3.4, so the fitted weights are the point model's; only inference changes, the dropout staying active while the network runs </w:t>
      </w:r>
      <w:r>
        <w:rPr>
          <w:rFonts w:ascii="Calibri" w:cs="Calibri" w:eastAsia="Calibri" w:hAnsi="Calibri"/>
          <w:i/>
          <w:iCs/>
          <w:color w:val="111111"/>
          <w:sz w:val="22"/>
          <w:szCs w:val="22"/>
        </w:rPr>
        <w:t>B</w:t>
      </w:r>
      <w:r>
        <w:rPr>
          <w:rFonts w:ascii="Calibri" w:cs="Calibri" w:eastAsia="Calibri" w:hAnsi="Calibri"/>
          <w:color w:val="111111"/>
          <w:sz w:val="22"/>
          <w:szCs w:val="22"/>
        </w:rPr>
        <w:t xml:space="preserve"> stochastic passes. Shared weights do not make the forecast identical: the predictive mean of Equation 3.5 is the average over those passes, not the deterministic one, so the passes move the point forecast as well as widening the interval — a movement the deterministic specification below is retained to measure. </w:t>
      </w:r>
    </w:p>
    <w:p>
      <w:pPr>
        <w:spacing w:after="160" w:line="320" w:lineRule="auto"/>
        <w:jc w:val="both"/>
      </w:pPr>
      <w:r>
        <w:rPr>
          <w:rFonts w:ascii="Calibri" w:hAnsi="Calibri"/>
          <w:color w:val="111111"/>
          <w:sz w:val="22"/>
        </w:rPr>
        <w:t>Where that dropout sits is a substantive choice: with a single recurrent layer the only stochastic element at inference is a mask on the final hidden state, so the epistemic term below approximates a posterior over the output layer alone rather than over the recurrent weights. That is the narrower of the two approximations and it biases the interval towards being too tight, which Chapter 5 must weigh against any under-coverage it finds. Reusing the trained weights still keeps the comparison tight: a difference in interval quality is a difference in how uncertainty is formed, not in what the network learned. Those passes and the residual term of Equation 3.4 supply two components of predictive variance, which add:</w:t>
      </w:r>
    </w:p>
    <w:p>
      <w:pPr>
        <w:tabs>
          <w:tab w:val="center" w:pos="4513"/>
          <w:tab w:val="right" w:pos="9026"/>
        </w:tabs>
        <w:spacing w:after="220" w:before="220" w:line="320"/>
      </w:pPr>
      <w:r>
        <w:rPr>
          <w:sz w:val="22"/>
          <w:szCs w:val="22"/>
        </w:rPr>
        <w:t xml:space="preserve">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(1/</w:t>
      </w:r>
      <w:r>
        <w:rPr>
          <w:rFonts w:ascii="Cambria Math" w:cs="Cambria Math" w:eastAsia="Cambria Math" w:hAnsi="Cambria Math"/>
          <w:i/>
          <w:iCs/>
          <w:color w:val="111111"/>
          <w:sz w:val="24"/>
          <w:szCs w:val="24"/>
        </w:rPr>
        <w:t>B</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B</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B</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j=1</w:t>
      </w:r>
      <w:r>
        <w:rPr>
          <w:rFonts w:ascii="Cambria Math" w:cs="Cambria Math" w:eastAsia="Cambria Math" w:hAnsi="Cambria Math"/>
          <w:i/>
          <w:iCs/>
          <w:color w:val="111111"/>
          <w:sz w:val="20"/>
          <w:szCs w:val="20"/>
          <w:vertAlign w:val="superscript"/>
        </w:rPr>
        <w:t>B</w:t>
      </w:r>
      <w:r>
        <w:rPr>
          <w:rFonts w:ascii="Cambria Math" w:cs="Cambria Math" w:eastAsia="Cambria Math" w:hAnsi="Cambria Math"/>
          <w:color w:val="111111"/>
          <w:sz w:val="24"/>
          <w:szCs w:val="24"/>
        </w:rPr>
        <w:t xml:space="preserve"> (</w:t>
      </w:r>
      <w:r>
        <w:rPr>
          <w:rFonts w:ascii="Cambria Math" w:cs="Cambria Math" w:eastAsia="Cambria Math" w:hAnsi="Cambria Math"/>
          <w:i/>
          <w:iCs/>
          <w:color w:val="111111"/>
          <w:sz w:val="24"/>
          <w:szCs w:val="24"/>
        </w:rPr>
        <w:t xml:space="preserve">m</w:t>
      </w:r>
      <w:r>
        <w:rPr>
          <w:rFonts w:ascii="Cambria Math" w:cs="Cambria Math" w:eastAsia="Cambria Math" w:hAnsi="Cambria Math"/>
          <w:i/>
          <w:iCs/>
          <w:color w:val="111111"/>
          <w:sz w:val="24"/>
          <w:szCs w:val="24"/>
          <w:vertAlign w:val="subscript"/>
        </w:rPr>
        <w:t xml:space="preserve">t,j</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μ̂</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w:t>
      </w:r>
      <w:r>
        <w:rPr>
          <w:rFonts w:ascii="Cambria Math" w:cs="Cambria Math" w:eastAsia="Cambria Math" w:hAnsi="Cambria Math"/>
          <w:color w:val="111111"/>
          <w:sz w:val="20"/>
          <w:szCs w:val="20"/>
          <w:vertAlign w:val="superscript"/>
        </w:rPr>
        <w:t xml:space="preserve">2</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 xml:space="preserve">σ̂</w:t>
      </w:r>
      <w:r>
        <w:rPr>
          <w:rFonts w:ascii="Cambria Math" w:cs="Cambria Math" w:eastAsia="Cambria Math" w:hAnsi="Cambria Math"/>
          <w:color w:val="111111"/>
          <w:sz w:val="20"/>
          <w:szCs w:val="20"/>
          <w:vertAlign w:val="superscript"/>
        </w:rPr>
        <w:t xml:space="preserve">2</w:t>
      </w:r>
      <w:r>
        <w:rPr>
          <w:rFonts w:ascii="Calibri" w:cs="Calibri" w:eastAsia="Calibri" w:hAnsi="Calibri"/>
          <w:sz w:val="22"/>
          <w:szCs w:val="22"/>
        </w:rPr>
        <w:t xml:space="preserve">	(3.5)</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B</w:t>
      </w:r>
      <w:r>
        <w:rPr>
          <w:rFonts w:ascii="Calibri" w:cs="Calibri" w:eastAsia="Calibri" w:hAnsi="Calibri"/>
          <w:color w:val="111111"/>
          <w:sz w:val="22"/>
          <w:szCs w:val="22"/>
        </w:rPr>
        <w:t xml:space="preserve"> is the number of stochastic passes, </w:t>
      </w:r>
      <w:r>
        <w:rPr>
          <w:rFonts w:ascii="Calibri" w:cs="Calibri" w:eastAsia="Calibri" w:hAnsi="Calibri"/>
          <w:i/>
          <w:iCs/>
          <w:color w:val="111111"/>
          <w:sz w:val="22"/>
          <w:szCs w:val="22"/>
        </w:rPr>
        <w:t xml:space="preserve">m</w:t>
      </w:r>
      <w:r>
        <w:rPr>
          <w:rFonts w:ascii="Calibri" w:cs="Calibri" w:eastAsia="Calibri" w:hAnsi="Calibri"/>
          <w:i/>
          <w:iCs/>
          <w:color w:val="111111"/>
          <w:sz w:val="19"/>
          <w:szCs w:val="19"/>
          <w:vertAlign w:val="subscript"/>
        </w:rPr>
        <w:t xml:space="preserve">t,j</w:t>
      </w:r>
      <w:r>
        <w:rPr>
          <w:rFonts w:ascii="Calibri" w:cs="Calibri" w:eastAsia="Calibri" w:hAnsi="Calibri"/>
          <w:color w:val="111111"/>
          <w:sz w:val="22"/>
          <w:szCs w:val="22"/>
        </w:rPr>
        <w:t xml:space="preserve"> the log-variance output of the </w:t>
      </w:r>
      <w:r>
        <w:rPr>
          <w:rFonts w:ascii="Calibri" w:cs="Calibri" w:eastAsia="Calibri" w:hAnsi="Calibri"/>
          <w:i/>
          <w:iCs/>
          <w:color w:val="111111"/>
          <w:sz w:val="22"/>
          <w:szCs w:val="22"/>
        </w:rPr>
        <w:t xml:space="preserve">j</w:t>
      </w:r>
      <w:r>
        <w:rPr>
          <w:rFonts w:ascii="Calibri" w:cs="Calibri" w:eastAsia="Calibri" w:hAnsi="Calibri"/>
          <w:color w:val="111111"/>
          <w:sz w:val="22"/>
          <w:szCs w:val="22"/>
        </w:rPr>
        <w:t xml:space="preserve">-th pass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t>
      </w:r>
      <w:r>
        <w:rPr>
          <w:rFonts w:ascii="Calibri" w:cs="Calibri" w:eastAsia="Calibri" w:hAnsi="Calibri"/>
          <w:i/>
          <w:iCs/>
          <w:color w:val="111111"/>
          <w:sz w:val="22"/>
          <w:szCs w:val="22"/>
        </w:rPr>
        <w:t xml:space="preserve">μ̂</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predictive mean,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the total predictive variance, its first term the epistemic component, and </w:t>
      </w:r>
      <w:r>
        <w:rPr>
          <w:rFonts w:ascii="Calibri" w:cs="Calibri" w:eastAsia="Calibri" w:hAnsi="Calibri"/>
          <w:i/>
          <w:iCs/>
          <w:color w:val="111111"/>
          <w:sz w:val="22"/>
          <w:szCs w:val="22"/>
        </w:rPr>
        <w:t xml:space="preserve">σ̂</w:t>
      </w:r>
      <w:r>
        <w:rPr>
          <w:rFonts w:ascii="Calibri" w:cs="Calibri" w:eastAsia="Calibri" w:hAnsi="Calibri"/>
          <w:i/>
          <w:iCs/>
          <w:color w:val="111111"/>
          <w:sz w:val="19"/>
          <w:szCs w:val="19"/>
          <w:vertAlign w:val="superscript"/>
        </w:rPr>
        <w:t xml:space="preserve">2</w:t>
      </w:r>
      <w:r>
        <w:rPr>
          <w:rFonts w:ascii="Calibri" w:cs="Calibri" w:eastAsia="Calibri" w:hAnsi="Calibri"/>
          <w:color w:val="111111"/>
          <w:sz w:val="22"/>
          <w:szCs w:val="22"/>
        </w:rPr>
        <w:t xml:space="preserve"> — without the subscript, and the same quantity as in Equation 3.4 — the aleatoric variance from held-out residuals. The distinction matters for RQ3: epistemic uncertainty should shrink as data accumulates and widen where the model extrapolates, aleatoric uncertainty should not, and an interval omitting either is miscalibrated for a different reason.</w:t>
      </w:r>
      <w:r>
        <w:rPr>
          <w:rFonts w:ascii="Calibri" w:hAnsi="Calibri"/>
          <w:color w:val="111111"/>
          <w:sz w:val="22"/>
        </w:rPr>
        <w:t xml:space="preserve"> Equation 3.4 then returns the forecast to the variance scale, with </w:t>
      </w:r>
      <w:r>
        <w:rPr>
          <w:rFonts w:ascii="Calibri" w:hAnsi="Calibri"/>
          <w:i/>
          <w:color w:val="111111"/>
          <w:sz w:val="22"/>
        </w:rPr>
        <w:t>σ̂</w:t>
      </w:r>
      <w:r>
        <w:rPr>
          <w:rFonts w:ascii="Calibri" w:hAnsi="Calibri"/>
          <w:i/>
          <w:color w:val="111111"/>
          <w:sz w:val="19"/>
          <w:vertAlign w:val="subscript"/>
        </w:rPr>
        <w:t>t</w:t>
      </w:r>
      <w:r>
        <w:rPr>
          <w:rFonts w:ascii="Calibri" w:hAnsi="Calibri"/>
          <w:i/>
          <w:color w:val="111111"/>
          <w:sz w:val="19"/>
          <w:vertAlign w:val="superscript"/>
        </w:rPr>
        <w:t>2</w:t>
      </w:r>
      <w:r>
        <w:rPr>
          <w:rFonts w:ascii="Calibri" w:hAnsi="Calibri"/>
          <w:color w:val="111111"/>
          <w:sz w:val="22"/>
        </w:rPr>
        <w:t xml:space="preserve"> in place of </w:t>
      </w:r>
      <w:r>
        <w:rPr>
          <w:rFonts w:ascii="Calibri" w:hAnsi="Calibri"/>
          <w:i/>
          <w:color w:val="111111"/>
          <w:sz w:val="22"/>
        </w:rPr>
        <w:t>σ̂</w:t>
      </w:r>
      <w:r>
        <w:rPr>
          <w:rFonts w:ascii="Calibri" w:hAnsi="Calibri"/>
          <w:i/>
          <w:color w:val="111111"/>
          <w:sz w:val="19"/>
          <w:vertAlign w:val="superscript"/>
        </w:rPr>
        <w:t>2</w:t>
      </w:r>
      <w:r>
        <w:rPr>
          <w:rFonts w:ascii="Calibri" w:hAnsi="Calibri"/>
          <w:color w:val="111111"/>
          <w:sz w:val="22"/>
        </w:rPr>
        <w:t xml:space="preserve">, so </w:t>
      </w:r>
      <w:r>
        <w:rPr>
          <w:rFonts w:ascii="Calibri" w:hAnsi="Calibri"/>
          <w:i/>
          <w:color w:val="111111"/>
          <w:sz w:val="22"/>
        </w:rPr>
        <w:t>ĥ</w:t>
      </w:r>
      <w:r>
        <w:rPr>
          <w:rFonts w:ascii="Calibri" w:hAnsi="Calibri"/>
          <w:i/>
          <w:color w:val="111111"/>
          <w:sz w:val="19"/>
          <w:vertAlign w:val="subscript"/>
        </w:rPr>
        <w:t>t</w:t>
      </w:r>
      <w:r>
        <w:rPr>
          <w:rFonts w:ascii="Calibri" w:hAnsi="Calibri"/>
          <w:color w:val="111111"/>
          <w:sz w:val="22"/>
        </w:rPr>
        <w:t xml:space="preserve"> = exp(</w:t>
      </w:r>
      <w:r>
        <w:rPr>
          <w:rFonts w:ascii="Calibri" w:hAnsi="Calibri"/>
          <w:i/>
          <w:color w:val="111111"/>
          <w:sz w:val="22"/>
        </w:rPr>
        <w:t>μ̂</w:t>
      </w:r>
      <w:r>
        <w:rPr>
          <w:rFonts w:ascii="Calibri" w:hAnsi="Calibri"/>
          <w:i/>
          <w:color w:val="111111"/>
          <w:sz w:val="19"/>
          <w:vertAlign w:val="subscript"/>
        </w:rPr>
        <w:t>t</w:t>
      </w:r>
      <w:r>
        <w:rPr>
          <w:rFonts w:ascii="Calibri" w:hAnsi="Calibri"/>
          <w:color w:val="111111"/>
          <w:sz w:val="22"/>
        </w:rPr>
        <w:t xml:space="preserve"> + ½ </w:t>
      </w:r>
      <w:r>
        <w:rPr>
          <w:rFonts w:ascii="Calibri" w:hAnsi="Calibri"/>
          <w:i/>
          <w:color w:val="111111"/>
          <w:sz w:val="22"/>
        </w:rPr>
        <w:t>σ̂</w:t>
      </w:r>
      <w:r>
        <w:rPr>
          <w:rFonts w:ascii="Calibri" w:hAnsi="Calibri"/>
          <w:i/>
          <w:color w:val="111111"/>
          <w:sz w:val="19"/>
          <w:vertAlign w:val="subscript"/>
        </w:rPr>
        <w:t>t</w:t>
      </w:r>
      <w:r>
        <w:rPr>
          <w:rFonts w:ascii="Calibri" w:hAnsi="Calibri"/>
          <w:i/>
          <w:color w:val="111111"/>
          <w:sz w:val="19"/>
          <w:vertAlign w:val="superscript"/>
        </w:rPr>
        <w:t>2</w:t>
      </w:r>
      <w:r>
        <w:rPr>
          <w:rFonts w:ascii="Calibri" w:hAnsi="Calibri"/>
          <w:color w:val="111111"/>
          <w:sz w:val="22"/>
        </w:rPr>
        <w:t>).</w:t>
      </w:r>
    </w:p>
    <w:p>
      <w:pPr>
        <w:spacing w:after="160" w:line="320"/>
        <w:jc w:val="both"/>
      </w:pPr>
      <w:r>
        <w:rPr>
          <w:rFonts w:ascii="Calibri" w:cs="Calibri" w:eastAsia="Calibri" w:hAnsi="Calibri"/>
          <w:color w:val="111111"/>
          <w:sz w:val="22"/>
          <w:szCs w:val="22"/>
        </w:rPr>
        <w:t>The comparison method assumes no distribution: one network carries a multi-quantile head trained under the pinball loss (Koenker and Bassett, 1978), monotone by construction so quantiles cannot cross, and trained at the headline band's endpoints and its median. That decides how it may be scored, a median head estimating a conditional median whereas the losses of Section 3.7 are defined for a mean, which on a right-skewed target differ systematically; its own quantiles identify a log-normal law, which Equation 3.4 converts, and both readings are reported — the median as the model, the converted mean as the sensitivity row of Appendix A.2. A third specification, LSTM-Gaussian in Appendix A.2, is the same network's deterministic forecast with an aleatoric-only interval, isolating what the passes buy. Hyperparameters stay at the Section 3.6 values.</w:t>
      </w:r>
    </w:p>
    <w:p>
      <w:pPr>
        <w:spacing w:after="160" w:line="320" w:lineRule="auto"/>
        <w:jc w:val="both"/>
      </w:pPr>
      <w:r>
        <w:rPr>
          <w:rFonts w:ascii="Calibri" w:hAnsi="Calibri"/>
          <w:color w:val="111111"/>
          <w:sz w:val="22"/>
        </w:rPr>
        <w:t xml:space="preserve">Equations 3.4 and 3.5 state a Gaussian law on log realised variance, which induces a log-normal law on the variance scale; every interval, quantile and closed-form score below is read off it. The central interval at nominal level 1 − </w:t>
      </w:r>
      <w:r>
        <w:rPr>
          <w:rFonts w:ascii="Calibri" w:hAnsi="Calibri"/>
          <w:i/>
          <w:color w:val="111111"/>
          <w:sz w:val="22"/>
        </w:rPr>
        <w:t>α</w:t>
      </w:r>
      <w:r>
        <w:rPr>
          <w:rFonts w:ascii="Calibri" w:hAnsi="Calibri"/>
          <w:color w:val="111111"/>
          <w:sz w:val="22"/>
        </w:rPr>
        <w:t xml:space="preserve"> is</w:t>
      </w:r>
    </w:p>
    <w:p>
      <w:pPr>
        <w:tabs>
          <w:tab w:pos="4513" w:val="center"/>
          <w:tab w:pos="9026" w:val="right"/>
        </w:tabs>
        <w:spacing w:after="220" w:line="320" w:lineRule="auto"/>
      </w:pPr>
      <w:r>
        <w:rPr>
          <w:sz w:val="22"/>
        </w:rPr>
        <w:tab/>
      </w:r>
      <w:r>
        <w:rPr>
          <w:rFonts w:ascii="Cambria Math" w:hAnsi="Cambria Math"/>
          <w:i/>
          <w:color w:val="111111"/>
          <w:sz w:val="24"/>
        </w:rPr>
        <w:t>ℓ</w:t>
      </w:r>
      <w:r>
        <w:rPr>
          <w:rFonts w:ascii="Cambria Math" w:hAnsi="Cambria Math"/>
          <w:i/>
          <w:color w:val="111111"/>
          <w:sz w:val="24"/>
          <w:vertAlign w:val="subscript"/>
        </w:rPr>
        <w:t>t</w:t>
      </w:r>
      <w:r>
        <w:rPr>
          <w:rFonts w:ascii="Cambria Math" w:hAnsi="Cambria Math"/>
          <w:color w:val="111111"/>
          <w:sz w:val="24"/>
        </w:rPr>
        <w:t xml:space="preserve">  =  exp( </w:t>
      </w:r>
      <w:r>
        <w:rPr>
          <w:rFonts w:ascii="Cambria Math" w:hAnsi="Cambria Math"/>
          <w:i/>
          <w:color w:val="111111"/>
          <w:sz w:val="24"/>
        </w:rPr>
        <w:t>μ̂</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color w:val="111111"/>
          <w:sz w:val="24"/>
        </w:rPr>
        <w:t>Φ</w:t>
      </w:r>
      <w:r>
        <w:rPr>
          <w:rFonts w:ascii="Cambria Math" w:hAnsi="Cambria Math"/>
          <w:color w:val="111111"/>
          <w:sz w:val="20"/>
          <w:vertAlign w:val="superscript"/>
        </w:rPr>
        <w:t>−1</w:t>
      </w:r>
      <w:r>
        <w:rPr>
          <w:rFonts w:ascii="Cambria Math" w:hAnsi="Cambria Math"/>
          <w:color w:val="111111"/>
          <w:sz w:val="24"/>
        </w:rPr>
        <w:t>(</w:t>
      </w:r>
      <w:r>
        <w:rPr>
          <w:rFonts w:ascii="Cambria Math" w:hAnsi="Cambria Math"/>
          <w:i/>
          <w:color w:val="111111"/>
          <w:sz w:val="24"/>
        </w:rPr>
        <w:t>α</w:t>
      </w:r>
      <w:r>
        <w:rPr>
          <w:rFonts w:ascii="Cambria Math" w:hAnsi="Cambria Math"/>
          <w:color w:val="111111"/>
          <w:sz w:val="24"/>
        </w:rPr>
        <w:t xml:space="preserve">/2) </w:t>
      </w:r>
      <w:r>
        <w:rPr>
          <w:rFonts w:ascii="Cambria Math" w:hAnsi="Cambria Math"/>
          <w:i/>
          <w:color w:val="111111"/>
          <w:sz w:val="24"/>
        </w:rPr>
        <w:t>σ̂</w:t>
      </w:r>
      <w:r>
        <w:rPr>
          <w:rFonts w:ascii="Cambria Math" w:hAnsi="Cambria Math"/>
          <w:i/>
          <w:color w:val="111111"/>
          <w:sz w:val="24"/>
          <w:vertAlign w:val="subscript"/>
        </w:rPr>
        <w:t>t</w:t>
      </w:r>
      <w:r>
        <w:rPr>
          <w:rFonts w:ascii="Cambria Math" w:hAnsi="Cambria Math"/>
          <w:color w:val="111111"/>
          <w:sz w:val="24"/>
        </w:rPr>
        <w:t xml:space="preserve"> )</w:t>
      </w:r>
      <w:r>
        <w:rPr>
          <w:rFonts w:ascii="Cambria Math" w:hAnsi="Cambria Math"/>
          <w:color w:val="111111"/>
          <w:sz w:val="24"/>
        </w:rPr>
        <w:t xml:space="preserve"> ,        </w:t>
      </w:r>
      <w:r>
        <w:rPr>
          <w:rFonts w:ascii="Cambria Math" w:hAnsi="Cambria Math"/>
          <w:i/>
          <w:color w:val="111111"/>
          <w:sz w:val="24"/>
        </w:rPr>
        <w:t>u</w:t>
      </w:r>
      <w:r>
        <w:rPr>
          <w:rFonts w:ascii="Cambria Math" w:hAnsi="Cambria Math"/>
          <w:i/>
          <w:color w:val="111111"/>
          <w:sz w:val="24"/>
          <w:vertAlign w:val="subscript"/>
        </w:rPr>
        <w:t>t</w:t>
      </w:r>
      <w:r>
        <w:rPr>
          <w:rFonts w:ascii="Cambria Math" w:hAnsi="Cambria Math"/>
          <w:color w:val="111111"/>
          <w:sz w:val="24"/>
        </w:rPr>
        <w:t xml:space="preserve">  =  exp( </w:t>
      </w:r>
      <w:r>
        <w:rPr>
          <w:rFonts w:ascii="Cambria Math" w:hAnsi="Cambria Math"/>
          <w:i/>
          <w:color w:val="111111"/>
          <w:sz w:val="24"/>
        </w:rPr>
        <w:t>μ̂</w:t>
      </w:r>
      <w:r>
        <w:rPr>
          <w:rFonts w:ascii="Cambria Math" w:hAnsi="Cambria Math"/>
          <w:i/>
          <w:color w:val="111111"/>
          <w:sz w:val="24"/>
          <w:vertAlign w:val="subscript"/>
        </w:rPr>
        <w:t>t</w:t>
      </w:r>
      <w:r>
        <w:rPr>
          <w:rFonts w:ascii="Cambria Math" w:hAnsi="Cambria Math"/>
          <w:color w:val="111111"/>
          <w:sz w:val="24"/>
        </w:rPr>
        <w:t xml:space="preserve">  +  </w:t>
      </w:r>
      <w:r>
        <w:rPr>
          <w:rFonts w:ascii="Cambria Math" w:hAnsi="Cambria Math"/>
          <w:color w:val="111111"/>
          <w:sz w:val="24"/>
        </w:rPr>
        <w:t>Φ</w:t>
      </w:r>
      <w:r>
        <w:rPr>
          <w:rFonts w:ascii="Cambria Math" w:hAnsi="Cambria Math"/>
          <w:color w:val="111111"/>
          <w:sz w:val="20"/>
          <w:vertAlign w:val="superscript"/>
        </w:rPr>
        <w:t>−1</w:t>
      </w:r>
      <w:r>
        <w:rPr>
          <w:rFonts w:ascii="Cambria Math" w:hAnsi="Cambria Math"/>
          <w:color w:val="111111"/>
          <w:sz w:val="24"/>
        </w:rPr>
        <w:t>(</w:t>
      </w:r>
      <w:r>
        <w:rPr>
          <w:rFonts w:ascii="Cambria Math" w:hAnsi="Cambria Math"/>
          <w:color w:val="111111"/>
          <w:sz w:val="24"/>
        </w:rPr>
        <w:t xml:space="preserve">1 − </w:t>
      </w:r>
      <w:r>
        <w:rPr>
          <w:rFonts w:ascii="Cambria Math" w:hAnsi="Cambria Math"/>
          <w:i/>
          <w:color w:val="111111"/>
          <w:sz w:val="24"/>
        </w:rPr>
        <w:t>α</w:t>
      </w:r>
      <w:r>
        <w:rPr>
          <w:rFonts w:ascii="Cambria Math" w:hAnsi="Cambria Math"/>
          <w:color w:val="111111"/>
          <w:sz w:val="24"/>
        </w:rPr>
        <w:t xml:space="preserve">/2) </w:t>
      </w:r>
      <w:r>
        <w:rPr>
          <w:rFonts w:ascii="Cambria Math" w:hAnsi="Cambria Math"/>
          <w:i/>
          <w:color w:val="111111"/>
          <w:sz w:val="24"/>
        </w:rPr>
        <w:t>σ̂</w:t>
      </w:r>
      <w:r>
        <w:rPr>
          <w:rFonts w:ascii="Cambria Math" w:hAnsi="Cambria Math"/>
          <w:i/>
          <w:color w:val="111111"/>
          <w:sz w:val="24"/>
          <w:vertAlign w:val="subscript"/>
        </w:rPr>
        <w:t>t</w:t>
      </w:r>
      <w:r>
        <w:rPr>
          <w:rFonts w:ascii="Cambria Math" w:hAnsi="Cambria Math"/>
          <w:color w:val="111111"/>
          <w:sz w:val="24"/>
        </w:rPr>
        <w:t xml:space="preserve"> )</w:t>
      </w:r>
      <w:r>
        <w:rPr>
          <w:rFonts w:ascii="Calibri" w:hAnsi="Calibri"/>
          <w:sz w:val="22"/>
        </w:rPr>
        <w:tab/>
        <w:t>(3.6)</w:t>
      </w:r>
    </w:p>
    <w:p>
      <w:pPr>
        <w:spacing w:after="160" w:line="320" w:lineRule="auto"/>
        <w:jc w:val="both"/>
      </w:pPr>
      <w:r>
        <w:rPr>
          <w:rFonts w:ascii="Calibri" w:hAnsi="Calibri"/>
          <w:color w:val="111111"/>
          <w:sz w:val="22"/>
        </w:rPr>
        <w:t xml:space="preserve">where </w:t>
      </w:r>
      <w:r>
        <w:rPr>
          <w:rFonts w:ascii="Calibri" w:hAnsi="Calibri"/>
          <w:i/>
          <w:color w:val="111111"/>
          <w:sz w:val="22"/>
        </w:rPr>
        <w:t>α</w:t>
      </w:r>
      <w:r>
        <w:rPr>
          <w:rFonts w:ascii="Calibri" w:hAnsi="Calibri"/>
          <w:color w:val="111111"/>
          <w:sz w:val="22"/>
        </w:rPr>
        <w:t xml:space="preserve"> is one minus the nominal coverage, </w:t>
      </w:r>
      <w:r>
        <w:rPr>
          <w:rFonts w:ascii="Calibri" w:hAnsi="Calibri"/>
          <w:color w:val="111111"/>
          <w:sz w:val="22"/>
        </w:rPr>
        <w:t>Φ</w:t>
      </w:r>
      <w:r>
        <w:rPr>
          <w:rFonts w:ascii="Calibri" w:hAnsi="Calibri"/>
          <w:color w:val="111111"/>
          <w:sz w:val="19"/>
          <w:vertAlign w:val="superscript"/>
        </w:rPr>
        <w:t>−1</w:t>
      </w:r>
      <w:r>
        <w:rPr>
          <w:rFonts w:ascii="Calibri" w:hAnsi="Calibri"/>
          <w:color w:val="111111"/>
          <w:sz w:val="22"/>
        </w:rPr>
        <w:t xml:space="preserve"> the standard normal quantile function, and </w:t>
      </w:r>
      <w:r>
        <w:rPr>
          <w:rFonts w:ascii="Calibri" w:hAnsi="Calibri"/>
          <w:i/>
          <w:color w:val="111111"/>
          <w:sz w:val="22"/>
        </w:rPr>
        <w:t>σ̂</w:t>
      </w:r>
      <w:r>
        <w:rPr>
          <w:rFonts w:ascii="Calibri" w:hAnsi="Calibri"/>
          <w:i/>
          <w:color w:val="111111"/>
          <w:sz w:val="19"/>
          <w:vertAlign w:val="subscript"/>
        </w:rPr>
        <w:t>t</w:t>
      </w:r>
      <w:r>
        <w:rPr>
          <w:rFonts w:ascii="Calibri" w:hAnsi="Calibri"/>
          <w:color w:val="111111"/>
          <w:sz w:val="22"/>
        </w:rPr>
        <w:t xml:space="preserve"> the square root of the predictive variance of Equation 3.5. The same law supplies the closed-form continuous ranked probability score of Section 3.7 and the mean of Equation 3.4. The quantile head states no law — its interval is the two trained quantiles themselves — which is why Section 3.7 scores the two families on a common grid before comparing them.</w:t>
      </w:r>
    </w:p>
    <w:p>
      <w:pPr>
        <w:spacing w:after="160" w:line="320"/>
        <w:jc w:val="both"/>
      </w:pPr>
      <w:r>
        <w:rPr>
          <w:rFonts w:ascii="Calibri" w:cs="Calibri" w:eastAsia="Calibri" w:hAnsi="Calibri"/>
          <w:color w:val="111111"/>
          <w:sz w:val="22"/>
          <w:szCs w:val="22"/>
        </w:rPr>
        <w:t>A final specification combines the two layers — the regime-conditioned architecture of Section 3.4 with the stochastic passes of this section — and is how the interaction between RQ2 and RQ3 is tested. Which regime architecture it inherits was fixed before that comparison was run: the one whose advantage is both large and carried by a formal test, not the one with the best point estimate in any single state. The smaller states rest on few days, and the most extreme changes sign between the two regime estimators of Section 3.3, so selecting on either would be choosing an architecture on noise.</w:t>
      </w:r>
    </w:p>
    <w:p>
      <w:pPr>
        <w:pStyle w:val="Heading2"/>
        <w:spacing w:after="180" w:before="320"/>
      </w:pPr>
      <w:r>
        <w:rPr>
          <w:rFonts w:ascii="Calibri" w:cs="Calibri" w:eastAsia="Calibri" w:hAnsi="Calibri"/>
          <w:b/>
          <w:bCs/>
          <w:color w:val="111111"/>
          <w:sz w:val="26"/>
          <w:szCs w:val="26"/>
        </w:rPr>
        <w:t xml:space="preserve">3.6  Training Protocol and Parameter Selection</w:t>
      </w:r>
    </w:p>
    <w:p>
      <w:pPr>
        <w:spacing w:after="160" w:line="320"/>
        <w:jc w:val="both"/>
      </w:pPr>
      <w:r>
        <w:rPr>
          <w:rFonts w:ascii="Calibri" w:cs="Calibri" w:eastAsia="Calibri" w:hAnsi="Calibri"/>
          <w:color w:val="111111"/>
          <w:sz w:val="22"/>
          <w:szCs w:val="22"/>
        </w:rPr>
        <w:t>The data are split by time into three contiguous blocks — training, validation and test — not by random folds. Cross-validation assumes exchangeable observations; volatility is strongly autocorrelated, so a randomly held-out day sits between two the model has seen and is predictable from them alone. The validation block carries every selection decision; none is taken on the test block. Over it the forecasts are produced on an anchored walk-forward, the estimation window growing from the start of the sample, which beats a fixed-length rolling window because regimes recur and discarding an early crisis would leave a model with no instance of the behaviour it most needs to have seen.</w:t>
      </w:r>
    </w:p>
    <w:p>
      <w:pPr>
        <w:spacing w:after="160" w:line="320" w:lineRule="auto"/>
        <w:jc w:val="both"/>
      </w:pPr>
      <w:r>
        <w:rPr>
          <w:rFonts w:ascii="Calibri" w:hAnsi="Calibri" w:cs="Calibri" w:eastAsia="Calibri"/>
          <w:color w:val="111111"/>
          <w:sz w:val="22"/>
        </w:rPr>
        <w:t>What that walk-forward re-estimates differs by model, by design. The econometric baselines are refitted on the expanding window at a fixed monthly cadence: they carry a handful of parameters, estimate in a fraction of a second, and withholding recent data from a model that costs nothing to update would be indefensible. The networks are estimated once, on all data preceding the test block, and held fixed across it. Refitting a network at every origin would confound two movements the study needs to keep apart — the forecast changing because the model has seen more data, and the forecast changing because a stochastic optimiser has landed elsewhere — and with a single seed the second is not measurable, so the month-to-month variation could not be attributed to either.</w:t>
      </w:r>
    </w:p>
    <w:p>
      <w:pPr>
        <w:spacing w:after="160" w:line="320" w:lineRule="auto"/>
        <w:jc w:val="both"/>
      </w:pPr>
      <w:r>
        <w:rPr>
          <w:rFonts w:ascii="Calibri" w:hAnsi="Calibri" w:cs="Calibri" w:eastAsia="Calibri"/>
          <w:color w:val="111111"/>
          <w:sz w:val="22"/>
        </w:rPr>
        <w:t>Both protocols are leakage-free: no quantity entering a forecast for a given day was computed from that day or later. They are not symmetric, and the asymmetry runs against the networks — the baselines absorb the out-of-sample period as it unfolds, the networks see none of it. A network that wins under this protocol wins conservatively; a network that loses in a state far from its training window cannot be told apart, on this evidence, from one whose training window has gone stale. Separating the two requires refitting the network at the baselines' cadence, a sensitivity this design admits rather than resolves and which Chapter 4 reports.</w:t>
      </w:r>
    </w:p>
    <w:p>
      <w:pPr>
        <w:spacing w:after="160" w:line="320" w:lineRule="auto"/>
        <w:jc w:val="both"/>
      </w:pPr>
      <w:r>
        <w:rPr>
          <w:rFonts w:ascii="Calibri" w:hAnsi="Calibri" w:cs="Calibri" w:eastAsia="Calibri"/>
          <w:color w:val="111111"/>
          <w:sz w:val="22"/>
        </w:rPr>
        <w:t>The regime model's estimation window is shorter still: it is fitted on the training block alone — not on all pre-test data, as the networks are — and its posterior is filtered forward without refitting. Those same rows carry a selection, the state count and jump penalty of Section 3.3 being chosen on training data, so re-estimating afterwards would either reopen that choice or freeze it against a fit it no longer describes. Holding the estimation and selection windows identical is the conservative reading, and it means the regime signal at any forecast origin was estimated from strictly less information than the network consuming it.</w:t>
      </w:r>
    </w:p>
    <w:p>
      <w:pPr>
        <w:spacing w:after="160" w:line="320"/>
        <w:jc w:val="both"/>
      </w:pPr>
      <w:r>
        <w:rPr>
          <w:rFonts w:ascii="Calibri" w:cs="Calibri" w:eastAsia="Calibri" w:hAnsi="Calibri"/>
          <w:color w:val="111111"/>
          <w:sz w:val="22"/>
          <w:szCs w:val="22"/>
        </w:rPr>
        <w:t>Free quantities are chosen by exhaustive grid search, each combination trained on the training block and scored on the validation block. Grid search beats random or Bayesian search here, whose advantages accrue in high-dimensional spaces where a few parameters dominate (Bergstra and Bengio, 2012); with three parameters the grid is small enough to enumerate, so every candidate and its score can be reported and the choice is auditable rather than asserted. Appendix A.3 states the grid, what each hyperparameter controls, how it is selected and the expected effect of increasing it.</w:t>
      </w:r>
    </w:p>
    <w:p>
      <w:pPr>
        <w:spacing w:after="160" w:line="320"/>
        <w:jc w:val="both"/>
      </w:pPr>
      <w:r>
        <w:rPr>
          <w:rFonts w:ascii="Calibri" w:cs="Calibri" w:eastAsia="Calibri" w:hAnsi="Calibri"/>
          <w:color w:val="111111"/>
          <w:sz w:val="22"/>
          <w:szCs w:val="22"/>
        </w:rPr>
        <w:t>One unswept decision in Appendix A.3 is substantive: the dropout rate is fixed because it also generates the stochastic passes of Section 3.5, so tuning it on point loss would silently tune interval width, letting RQ1's selection decide RQ3's answer. Early stopping monitors a time-ordered tail rather than a random subset, shuffling reintroducing the leakage the outer split prevents.</w:t>
      </w:r>
    </w:p>
    <w:p>
      <w:pPr>
        <w:spacing w:after="160" w:line="320"/>
        <w:jc w:val="both"/>
      </w:pPr>
      <w:r>
        <w:rPr>
          <w:rFonts w:ascii="Calibri" w:cs="Calibri" w:eastAsia="Calibri" w:hAnsi="Calibri"/>
          <w:color w:val="111111"/>
          <w:sz w:val="22"/>
          <w:szCs w:val="22"/>
        </w:rPr>
        <w:t xml:space="preserve">Leakage discipline is enforced at three further points: standardisers are fitted on training rows only, every input window ends strictly before the date it predicts, and each fold's training window ends the day before its first forecast. With the three Section 3.3 imposes, no quantity entering a forecast for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was computed with knowledge of any observation dated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or later. The selected architecture is then held fixed for every variant, re-searching each confounding a component's effect with that of a fresh search.</w:t>
      </w:r>
    </w:p>
    <w:p>
      <w:pPr>
        <w:pStyle w:val="Heading2"/>
        <w:spacing w:after="180" w:before="320"/>
      </w:pPr>
      <w:r>
        <w:rPr>
          <w:rFonts w:ascii="Calibri" w:cs="Calibri" w:eastAsia="Calibri" w:hAnsi="Calibri"/>
          <w:b/>
          <w:bCs/>
          <w:color w:val="111111"/>
          <w:sz w:val="26"/>
          <w:szCs w:val="26"/>
        </w:rPr>
        <w:t xml:space="preserve">3.7  Evaluation Design</w:t>
      </w:r>
    </w:p>
    <w:p>
      <w:pPr>
        <w:spacing w:after="160" w:line="320"/>
        <w:jc w:val="both"/>
      </w:pPr>
      <w:r>
        <w:rPr>
          <w:rFonts w:ascii="Calibri" w:cs="Calibri" w:eastAsia="Calibri" w:hAnsi="Calibri"/>
          <w:color w:val="111111"/>
          <w:sz w:val="22"/>
          <w:szCs w:val="22"/>
        </w:rPr>
        <w:t>Every model is scored on the same held-out block and dates, used once, so the losses are paired as the significance tests require. Table 3.4 lists the criteria and the question each answers; most are conventional and used conventionally, so they are named and cited rather than re-derived, while two depart from standard practice and are defined below. Every interval criterion is reported at 90% and 95%, with 90% the headline: it is the band the quantile head is trained to produce, so comparing methods at any other level would favour the parametric ones by construction.</w:t>
      </w:r>
    </w:p>
    <w:p>
      <w:pPr>
        <w:spacing w:after="90" w:before="200"/>
      </w:pPr>
      <w:r>
        <w:rPr>
          <w:rFonts w:ascii="Calibri" w:cs="Calibri" w:eastAsia="Calibri" w:hAnsi="Calibri"/>
          <w:b/>
          <w:bCs/>
          <w:color w:val="111111"/>
          <w:sz w:val="19"/>
          <w:szCs w:val="19"/>
        </w:rPr>
        <w:t>Table 3.4  Evaluation criteria and the question each answers. The two departing from standard practice are defined in Equations 3.7 and 3.8.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560"/>
        <w:gridCol w:w="560"/>
        <w:gridCol w:w="320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Criterion</w:t>
            </w:r>
          </w:p>
        </w:tc>
        <w:tc>
          <w:tcPr>
            <w:tcW w:type="dxa" w:w="3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establishes</w:t>
            </w:r>
          </w:p>
        </w:tc>
        <w:tc>
          <w:tcPr>
            <w:tcW w:type="dxa" w:w="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RQ</w:t>
            </w:r>
          </w:p>
        </w:tc>
        <w:tc>
          <w:tcPr>
            <w:tcW w:type="dxa" w:w="320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Source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QLIKE (primary)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ranking consistently despite an imperfect proxy</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1, 2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Patton (2011); Eq. 3.7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MSE (secondary)</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Point accuracy under a different weighting of large errors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Patton (2011)</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MAE (descriptive)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Absolute error; never used to rank, lacking proxy robustness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Diebold–Mariano</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difference in average loss is significant, with HAC variance, a finite-sample correction and a Student-</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 reference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Diebold and Mariano (1995); Newey and West (1987); Harvey, Leybourne and Newbold (1997)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Giacomini–White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the better model is predictable from the state known at </w:t>
            </w:r>
            <w:r>
              <w:rPr>
                <w:rFonts w:ascii="Calibri" w:cs="Calibri" w:eastAsia="Calibri" w:hAnsi="Calibri"/>
                <w:b w:val="false"/>
                <w:bCs w:val="false"/>
                <w:i/>
                <w:iCs/>
                <w:color w:val="444444"/>
                <w:sz w:val="17"/>
                <w:szCs w:val="17"/>
              </w:rPr>
              <w:t xml:space="preserve">t</w:t>
            </w:r>
            <w:r>
              <w:rPr>
                <w:rFonts w:ascii="Calibri" w:cs="Calibri" w:eastAsia="Calibri" w:hAnsi="Calibri"/>
                <w:b w:val="false"/>
                <w:bCs w:val="false"/>
                <w:color w:val="444444"/>
                <w:sz w:val="17"/>
                <w:szCs w:val="17"/>
              </w:rPr>
              <w:t xml:space="preserve">−1 — RQ2 as a hypothesis</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Giacomini and White (2006)</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set indistinguishable from the best, controlling family-wise error at once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1</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Hansen, Lunde and Nason (2011); Politis and Romano (1994)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PICP and MPIW</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Interval coverage and width, read as a pair</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Winkler score; CRPS</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coverage–sharpness trade-off in one proper score</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Gneiting and Raftery (2007)</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Kupiec; Christoffersen; incremental dynamic quantile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Whether violations match the nominal rate, cluster, or — over and above their own lags — are predictable at t−1</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Kupiec (1995); Christoffersen (1998); Engle and Manganelli (2004)</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Difference in coverage</w:t>
            </w:r>
          </w:p>
        </w:tc>
        <w:tc>
          <w:tcPr>
            <w:tcW w:type="dxa" w:w="3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Whether a subsample's violation rate differs from the rest</w:t>
            </w:r>
          </w:p>
        </w:tc>
        <w:tc>
          <w:tcPr>
            <w:tcW w:type="dxa" w:w="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w:t>
            </w:r>
          </w:p>
        </w:tc>
        <w:tc>
          <w:tcPr>
            <w:tcW w:type="dxa" w:w="320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Project-specific; Eq. 3.8, Holm (1979)</w:t>
            </w:r>
          </w:p>
        </w:tc>
      </w:tr>
    </w:tbl>
    <w:p>
      <w:pPr>
        <w:spacing w:after="160" w:line="320"/>
        <w:jc w:val="both"/>
      </w:pPr>
      <w:r>
        <w:rPr>
          <w:rFonts w:ascii="Calibri" w:cs="Calibri" w:eastAsia="Calibri" w:hAnsi="Calibri"/>
          <w:color w:val="111111"/>
          <w:sz w:val="22"/>
          <w:szCs w:val="22"/>
        </w:rPr>
        <w:t xml:space="preserve">The primary point loss is QLIKE, and the choice is not stylistic: realised variance is a proxy for an unobservable quantity, and Patton (2011) shows that under an imperfect proxy most loss functions rank models inconsistently. QLIKE is in the restricted class that does not, and it penalises under-prediction more heavily than over-prediction, matching the asymmetric cost Chapter 1 identifies.</w:t>
      </w:r>
    </w:p>
    <w:p>
      <w:pPr>
        <w:tabs>
          <w:tab w:val="center" w:pos="4513"/>
          <w:tab w:val="right" w:pos="9026"/>
        </w:tabs>
        <w:spacing w:after="220" w:before="220" w:line="320"/>
      </w:pPr>
      <w:r>
        <w:rPr>
          <w:sz w:val="22"/>
          <w:szCs w:val="22"/>
        </w:rPr>
        <w:t xml:space="preserve">	</w:t>
      </w:r>
      <w:r>
        <w:rPr>
          <w:rFonts w:ascii="Cambria Math" w:cs="Cambria Math" w:eastAsia="Cambria Math" w:hAnsi="Cambria Math"/>
          <w:color w:val="111111"/>
          <w:sz w:val="24"/>
          <w:szCs w:val="24"/>
        </w:rPr>
        <w:t xml:space="preserve">QLIKE</w:t>
      </w:r>
      <w:r>
        <w:rPr>
          <w:rFonts w:ascii="Cambria Math" w:cs="Cambria Math" w:eastAsia="Cambria Math" w:hAnsi="Cambria Math"/>
          <w:color w:val="111111"/>
          <w:sz w:val="24"/>
          <w:szCs w:val="24"/>
        </w:rPr>
        <w:t xml:space="preserve">  =  (1/</w:t>
      </w:r>
      <w:r>
        <w:rPr>
          <w:rFonts w:ascii="Cambria Math" w:cs="Cambria Math" w:eastAsia="Cambria Math" w:hAnsi="Cambria Math"/>
          <w:i/>
          <w:iCs/>
          <w:color w:val="111111"/>
          <w:sz w:val="24"/>
          <w:szCs w:val="24"/>
        </w:rPr>
        <w:t xml:space="preserve">n</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Σ</w:t>
      </w:r>
      <w:r>
        <w:rPr>
          <w:rFonts w:ascii="Cambria Math" w:cs="Cambria Math" w:eastAsia="Cambria Math" w:hAnsi="Cambria Math"/>
          <w:color w:val="111111"/>
          <w:sz w:val="20"/>
          <w:szCs w:val="20"/>
          <w:vertAlign w:val="subscript"/>
        </w:rPr>
        <w:t xml:space="preserve">t=1</w:t>
      </w:r>
      <w:r>
        <w:rPr>
          <w:rFonts w:ascii="Cambria Math" w:cs="Cambria Math" w:eastAsia="Cambria Math" w:hAnsi="Cambria Math"/>
          <w:i/>
          <w:iCs/>
          <w:color w:val="111111"/>
          <w:sz w:val="20"/>
          <w:szCs w:val="20"/>
          <w:vertAlign w:val="superscript"/>
        </w:rPr>
        <w:t xml:space="preserve">n</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log (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0"/>
          <w:szCs w:val="20"/>
          <w:vertAlign w:val="superscript"/>
        </w:rPr>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ĥ</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r>
        <w:rPr>
          <w:rFonts w:ascii="Cambria Math" w:cs="Cambria Math" w:eastAsia="Cambria Math" w:hAnsi="Cambria Math"/>
          <w:color w:val="111111"/>
          <w:sz w:val="24"/>
          <w:szCs w:val="24"/>
        </w:rPr>
        <w:t xml:space="preserve">  −  1 ]</w:t>
      </w:r>
      <w:r>
        <w:rPr>
          <w:rFonts w:ascii="Calibri" w:cs="Calibri" w:eastAsia="Calibri" w:hAnsi="Calibri"/>
          <w:sz w:val="22"/>
          <w:szCs w:val="22"/>
        </w:rPr>
        <w:tab/>
        <w:t>(3.7)</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t xml:space="preserve">n</w:t>
      </w:r>
      <w:r>
        <w:rPr>
          <w:rFonts w:ascii="Calibri" w:cs="Calibri" w:eastAsia="Calibri" w:hAnsi="Calibri"/>
          <w:color w:val="111111"/>
          <w:sz w:val="22"/>
          <w:szCs w:val="22"/>
        </w:rPr>
        <w:t xml:space="preserve"> is the number of evaluated days, </w:t>
      </w:r>
      <w:r>
        <w:rPr>
          <w:rFonts w:ascii="Calibri" w:cs="Calibri" w:eastAsia="Calibri" w:hAnsi="Calibri"/>
          <w:i/>
          <w:iCs/>
          <w:color w:val="111111"/>
          <w:sz w:val="22"/>
          <w:szCs w:val="22"/>
        </w:rPr>
        <w:t>RV</w:t>
      </w:r>
      <w:r>
        <w:rPr>
          <w:rFonts w:ascii="Calibri" w:cs="Calibri" w:eastAsia="Calibri" w:hAnsi="Calibri"/>
          <w:i/>
          <w:iCs/>
          <w:color w:val="111111"/>
          <w:sz w:val="19"/>
          <w:szCs w:val="19"/>
          <w:vertAlign w:val="superscript"/>
        </w:rPr>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realised variance on day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 and </w:t>
      </w:r>
      <w:r>
        <w:rPr>
          <w:rFonts w:ascii="Calibri" w:cs="Calibri" w:eastAsia="Calibri" w:hAnsi="Calibri"/>
          <w:i/>
          <w:iCs/>
          <w:color w:val="111111"/>
          <w:sz w:val="22"/>
          <w:szCs w:val="22"/>
        </w:rPr>
        <w:t>ĥ</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the variance forecast for it, both as defined above. QLIKE is more often written without the final two terms; this form subtracts its value at a perfect forecast, so the loss is zero when </w:t>
      </w:r>
      <w:r>
        <w:rPr>
          <w:rFonts w:ascii="Calibri" w:cs="Calibri" w:eastAsia="Calibri" w:hAnsi="Calibri"/>
          <w:i/>
          <w:iCs/>
          <w:color w:val="111111"/>
          <w:sz w:val="22"/>
          <w:szCs w:val="22"/>
        </w:rPr>
        <w:t>ĥ</w:t>
      </w:r>
      <w:r>
        <w:rPr>
          <w:rFonts w:ascii="Calibri" w:cs="Calibri" w:eastAsia="Calibri" w:hAnsi="Calibri"/>
          <w:i/>
          <w:iCs/>
          <w:color w:val="111111"/>
          <w:sz w:val="19"/>
          <w:szCs w:val="19"/>
          <w:vertAlign w:val="subscript"/>
        </w:rPr>
        <w:t xml:space="preserve">t</w:t>
      </w:r>
      <w:r>
        <w:rPr>
          <w:rFonts w:ascii="Calibri" w:cs="Calibri" w:eastAsia="Calibri" w:hAnsi="Calibri"/>
          <w:i/>
          <w:iCs/>
          <w:color w:val="111111"/>
          <w:sz w:val="22"/>
          <w:szCs w:val="22"/>
        </w:rPr>
        <w:t xml:space="preserve"> = RV</w:t>
      </w:r>
      <w:r>
        <w:rPr>
          <w:rFonts w:ascii="Calibri" w:cs="Calibri" w:eastAsia="Calibri" w:hAnsi="Calibri"/>
          <w:i/>
          <w:iCs/>
          <w:color w:val="111111"/>
          <w:sz w:val="19"/>
          <w:szCs w:val="19"/>
          <w:vertAlign w:val="superscript"/>
        </w:rPr>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It is a Bregman divergence, not a different loss — every ranking and test statistic is unchanged — but a reported number becomes readable as a distance from perfect.</w:t>
      </w:r>
    </w:p>
    <w:p>
      <w:pPr>
        <w:spacing w:after="160" w:line="320"/>
        <w:jc w:val="both"/>
      </w:pPr>
      <w:r>
        <w:rPr>
          <w:rFonts w:ascii="Calibri" w:cs="Calibri" w:eastAsia="Calibri" w:hAnsi="Calibri"/>
          <w:color w:val="111111"/>
          <w:sz w:val="22"/>
          <w:szCs w:val="22"/>
        </w:rPr>
        <w:t xml:space="preserve">The second departure concerns subsample coverage. A model under-covering globally fails a nominal-level test on every subsample with power, so a rejection there is evidence about its overall level rather than about the subsample, and reading it otherwise attributes a level failure to timing. The quantity isolating a subsample is the difference in violation rates between it and the rest:</w:t>
      </w:r>
    </w:p>
    <w:p>
      <w:pPr>
        <w:tabs>
          <w:tab w:val="center" w:pos="4513"/>
          <w:tab w:val="right" w:pos="9026"/>
        </w:tabs>
        <w:spacing w:after="40" w:before="220" w:line="320"/>
      </w:pPr>
      <w:r>
        <w:rPr>
          <w:sz w:val="22"/>
          <w:szCs w:val="22"/>
        </w:rPr>
        <w:t xml:space="preserve">	</w:t>
      </w:r>
      <w:r>
        <w:rPr>
          <w:rFonts w:ascii="Cambria Math" w:cs="Cambria Math" w:eastAsia="Cambria Math" w:hAnsi="Cambria Math"/>
          <w:color w:val="111111"/>
          <w:sz w:val="24"/>
          <w:szCs w:val="24"/>
        </w:rPr>
        <w:t xml:space="preserv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&lt; </w:t>
      </w:r>
      <w:r>
        <w:rPr>
          <w:rFonts w:ascii="Cambria Math" w:cs="Cambria Math" w:eastAsia="Cambria Math" w:hAnsi="Cambria Math"/>
          <w:i/>
          <w:iCs/>
          <w:color w:val="111111"/>
          <w:sz w:val="24"/>
          <w:szCs w:val="24"/>
        </w:rPr>
        <w:t xml:space="preserve">ℓ</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or   </w:t>
      </w:r>
      <w:r>
        <w:rPr>
          <w:rFonts w:ascii="Cambria Math" w:cs="Cambria Math" w:eastAsia="Cambria Math" w:hAnsi="Cambria Math"/>
          <w:i/>
          <w:iCs/>
          <w:color w:val="111111"/>
          <w:sz w:val="24"/>
          <w:szCs w:val="24"/>
        </w:rPr>
        <w:t>RV</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&gt; </w:t>
      </w:r>
      <w:r>
        <w:rPr>
          <w:rFonts w:ascii="Cambria Math" w:cs="Cambria Math" w:eastAsia="Cambria Math" w:hAnsi="Cambria Math"/>
          <w:i/>
          <w:iCs/>
          <w:color w:val="111111"/>
          <w:sz w:val="24"/>
          <w:szCs w:val="24"/>
        </w:rPr>
        <w:t xml:space="preserve">u</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w:t>
      </w:r>
    </w:p>
    <w:p>
      <w:pPr>
        <w:tabs>
          <w:tab w:val="center" w:pos="4513"/>
          <w:tab w:val="right" w:pos="9026"/>
        </w:tabs>
        <w:spacing w:after="220" w:before="0" w:line="320"/>
      </w:pPr>
      <w:r>
        <w:rPr>
          <w:sz w:val="22"/>
          <w:szCs w:val="22"/>
        </w:rPr>
        <w:t xml:space="preserve">	</w:t>
      </w:r>
      <w:r>
        <w:rPr>
          <w:rFonts w:ascii="Cambria Math" w:cs="Cambria Math" w:eastAsia="Cambria Math" w:hAnsi="Cambria Math"/>
          <w:i/>
          <w:iCs/>
          <w:color w:val="111111"/>
          <w:sz w:val="24"/>
          <w:szCs w:val="24"/>
        </w:rPr>
        <w:t xml:space="preserve">Δ</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I</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1]</w:t>
      </w:r>
      <w:r>
        <w:rPr>
          <w:rFonts w:ascii="Cambria Math" w:cs="Cambria Math" w:eastAsia="Cambria Math" w:hAnsi="Cambria Math"/>
          <w:color w:val="111111"/>
          <w:sz w:val="24"/>
          <w:szCs w:val="24"/>
        </w:rPr>
        <w:t xml:space="preserve">  −  </w:t>
      </w:r>
      <w:r>
        <w:rPr>
          <w:rFonts w:ascii="Cambria Math" w:cs="Cambria Math" w:eastAsia="Cambria Math" w:hAnsi="Cambria Math"/>
          <w:color w:val="111111"/>
          <w:sz w:val="24"/>
          <w:szCs w:val="24"/>
        </w:rPr>
        <w:t xml:space="preserve">E[hit</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w:t>
      </w:r>
      <w:r>
        <w:rPr>
          <w:rFonts w:ascii="Cambria Math" w:cs="Cambria Math" w:eastAsia="Cambria Math" w:hAnsi="Cambria Math"/>
          <w:i/>
          <w:iCs/>
          <w:color w:val="111111"/>
          <w:sz w:val="24"/>
          <w:szCs w:val="24"/>
        </w:rPr>
        <w:t>I</w:t>
      </w:r>
      <w:r>
        <w:rPr>
          <w:rFonts w:ascii="Cambria Math" w:cs="Cambria Math" w:eastAsia="Cambria Math" w:hAnsi="Cambria Math"/>
          <w:i/>
          <w:iCs/>
          <w:color w:val="111111"/>
          <w:sz w:val="24"/>
          <w:szCs w:val="24"/>
          <w:vertAlign w:val="subscript"/>
        </w:rPr>
        <w:t xml:space="preserve">t</w:t>
      </w:r>
      <w:r>
        <w:rPr>
          <w:rFonts w:ascii="Cambria Math" w:cs="Cambria Math" w:eastAsia="Cambria Math" w:hAnsi="Cambria Math"/>
          <w:color w:val="111111"/>
          <w:sz w:val="24"/>
          <w:szCs w:val="24"/>
        </w:rPr>
        <w:t xml:space="preserve"> = 0]</w:t>
      </w:r>
      <w:r>
        <w:rPr>
          <w:rFonts w:ascii="Calibri" w:cs="Calibri" w:eastAsia="Calibri" w:hAnsi="Calibri"/>
          <w:sz w:val="22"/>
          <w:szCs w:val="22"/>
        </w:rPr>
        <w:tab/>
        <w:t>(3.8)</w:t>
      </w:r>
    </w:p>
    <w:p>
      <w:pPr>
        <w:spacing w:after="160" w:line="320"/>
        <w:jc w:val="both"/>
      </w:pPr>
      <w:r>
        <w:rPr>
          <w:rFonts w:ascii="Calibri" w:cs="Calibri" w:eastAsia="Calibri" w:hAnsi="Calibri"/>
          <w:color w:val="111111"/>
          <w:sz w:val="22"/>
          <w:szCs w:val="22"/>
        </w:rPr>
        <w:t xml:space="preserve">where </w:t>
      </w:r>
      <w:r>
        <w:rPr>
          <w:rFonts w:ascii="Calibri" w:cs="Calibri" w:eastAsia="Calibri" w:hAnsi="Calibri"/>
          <w:i/>
          <w:iCs/>
          <w:color w:val="111111"/>
          <w:sz w:val="22"/>
          <w:szCs w:val="22"/>
        </w:rPr>
      </w:r>
      <w:r>
        <w:rPr>
          <w:rFonts w:ascii="Calibri" w:cs="Calibri" w:eastAsia="Calibri" w:hAnsi="Calibri"/>
          <w:i/>
          <w:iCs/>
          <w:color w:val="111111"/>
          <w:sz w:val="19"/>
          <w:szCs w:val="19"/>
          <w:vertAlign w:val="subscript"/>
        </w:rPr>
      </w:r>
      <w:r>
        <w:rPr>
          <w:rFonts w:ascii="Calibri" w:cs="Calibri" w:eastAsia="Calibri" w:hAnsi="Calibri"/>
          <w:color w:val="111111"/>
          <w:sz w:val="22"/>
          <w:szCs w:val="22"/>
        </w:rPr>
      </w:r>
      <w:r>
        <w:rPr>
          <w:rFonts w:ascii="Calibri" w:cs="Calibri" w:eastAsia="Calibri" w:hAnsi="Calibri"/>
          <w:i/>
          <w:iCs/>
          <w:color w:val="111111"/>
          <w:sz w:val="22"/>
          <w:szCs w:val="22"/>
        </w:rPr>
        <w:t xml:space="preserve">ℓ</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and </w:t>
      </w:r>
      <w:r>
        <w:rPr>
          <w:rFonts w:ascii="Calibri" w:cs="Calibri" w:eastAsia="Calibri" w:hAnsi="Calibri"/>
          <w:i/>
          <w:iCs/>
          <w:color w:val="111111"/>
          <w:sz w:val="22"/>
          <w:szCs w:val="22"/>
        </w:rPr>
        <w:t xml:space="preserve">u</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are the interval bounds, </w:t>
      </w:r>
      <w:r>
        <w:rPr>
          <w:rFonts w:ascii="Calibri" w:cs="Calibri" w:eastAsia="Calibri" w:hAnsi="Calibri"/>
          <w:i/>
          <w:iCs/>
          <w:color w:val="111111"/>
          <w:sz w:val="22"/>
          <w:szCs w:val="22"/>
        </w:rPr>
        <w:t>I</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a subsample indicator measurable at </w:t>
      </w:r>
      <w:r>
        <w:rPr>
          <w:rFonts w:ascii="Calibri" w:cs="Calibri" w:eastAsia="Calibri" w:hAnsi="Calibri"/>
          <w:i/>
          <w:iCs/>
          <w:color w:val="111111"/>
          <w:sz w:val="22"/>
          <w:szCs w:val="22"/>
        </w:rPr>
        <w:t xml:space="preserve">t</w:t>
      </w:r>
      <w:r>
        <w:rPr>
          <w:rFonts w:ascii="Calibri" w:cs="Calibri" w:eastAsia="Calibri" w:hAnsi="Calibri"/>
          <w:color w:val="111111"/>
          <w:sz w:val="22"/>
          <w:szCs w:val="22"/>
        </w:rPr>
        <w:t xml:space="preserve">−1, and </w:t>
      </w:r>
      <w:r>
        <w:rPr>
          <w:rFonts w:ascii="Calibri" w:cs="Calibri" w:eastAsia="Calibri" w:hAnsi="Calibri"/>
          <w:i/>
          <w:iCs/>
          <w:color w:val="111111"/>
          <w:sz w:val="22"/>
          <w:szCs w:val="22"/>
        </w:rPr>
        <w:t xml:space="preserve">Δ</w:t>
      </w:r>
      <w:r>
        <w:rPr>
          <w:rFonts w:ascii="Calibri" w:cs="Calibri" w:eastAsia="Calibri" w:hAnsi="Calibri"/>
          <w:color w:val="111111"/>
          <w:sz w:val="22"/>
          <w:szCs w:val="22"/>
        </w:rPr>
        <w:t xml:space="preserve"> the difference in violation rate between flagged days and the remainder, tested as the coefficient on </w:t>
      </w:r>
      <w:r>
        <w:rPr>
          <w:rFonts w:ascii="Calibri" w:cs="Calibri" w:eastAsia="Calibri" w:hAnsi="Calibri"/>
          <w:i/>
          <w:iCs/>
          <w:color w:val="111111"/>
          <w:sz w:val="22"/>
          <w:szCs w:val="22"/>
        </w:rPr>
        <w:t>I</w:t>
      </w:r>
      <w:r>
        <w:rPr>
          <w:rFonts w:ascii="Calibri" w:cs="Calibri" w:eastAsia="Calibri" w:hAnsi="Calibri"/>
          <w:i/>
          <w:iCs/>
          <w:color w:val="111111"/>
          <w:sz w:val="19"/>
          <w:szCs w:val="19"/>
          <w:vertAlign w:val="subscript"/>
        </w:rPr>
        <w:t xml:space="preserve">t</w:t>
      </w:r>
      <w:r>
        <w:rPr>
          <w:rFonts w:ascii="Calibri" w:cs="Calibri" w:eastAsia="Calibri" w:hAnsi="Calibri"/>
          <w:color w:val="111111"/>
          <w:sz w:val="22"/>
          <w:szCs w:val="22"/>
        </w:rPr>
        <w:t xml:space="preserve"> in a regression of the hit on the indicator with a Newey–West HAC variance, a regime indicator being persistent by construction; the family then takes the Holm correction (Holm, 1979). Coverage and width are reported together, and both tails separately as well as pooled, pooling letting a band too narrow above and too wide below pass on net.</w:t>
      </w:r>
    </w:p>
    <w:p>
      <w:pPr>
        <w:spacing w:after="160" w:line="320"/>
        <w:jc w:val="both"/>
      </w:pPr>
      <w:r>
        <w:rPr>
          <w:rFonts w:ascii="Calibri" w:cs="Calibri" w:eastAsia="Calibri" w:hAnsi="Calibri"/>
          <w:color w:val="111111"/>
          <w:sz w:val="22"/>
          <w:szCs w:val="22"/>
        </w:rPr>
        <w:t>The same reasoning governs any conditional test of when violations occur. The dynamic-quantile regression contains a constant, through which a globally mis-levelled interval rejects whatever the conditioning variable does, so each such test is run incrementally: it asks whether the conditioner adds explanatory power to a specification already carrying the level and the hit's own lags. The multiplicity family is fixed once rather than assembled per table — its dimensions are method, level and side, giving seven members, four differences in coverage and three incremental tests — so a count of rejections is read against that denominator, not against the number of rows displayed.</w:t>
      </w:r>
    </w:p>
    <w:p>
      <w:pPr>
        <w:spacing w:after="160" w:line="320"/>
        <w:jc w:val="both"/>
      </w:pPr>
      <w:r>
        <w:rPr>
          <w:rFonts w:ascii="Calibri" w:cs="Calibri" w:eastAsia="Calibri" w:hAnsi="Calibri"/>
          <w:color w:val="111111"/>
          <w:sz w:val="22"/>
          <w:szCs w:val="22"/>
        </w:rPr>
        <w:t>Two qualifications attach to the conditional predictive-ability test and are declared rather than left to be discovered. Its asymptotics assume forecasts come from a finite estimation window, so that estimation error does not vanish and the object under test is the forecasting method rather than the population model: the networks, estimated once and held fixed, satisfy this; the baselines, re-estimated on an expanding window, do not, so one side of every deep-versus-econometric pair sits outside the stated conditions. Its long-run covariance is also mean-centred, which makes the test mildly over-sized. Centring is retained because it is what the pairwise test uses, so the equivalence between the two at a single lag holds exactly, and Chapter 4 measures the effect against the uncentred statistic.</w:t>
      </w:r>
    </w:p>
    <w:p>
      <w:pPr>
        <w:spacing w:after="160" w:line="320"/>
        <w:jc w:val="both"/>
      </w:pPr>
      <w:r>
        <w:rPr>
          <w:rFonts w:ascii="Calibri" w:cs="Calibri" w:eastAsia="Calibri" w:hAnsi="Calibri"/>
          <w:color w:val="111111"/>
          <w:sz w:val="22"/>
          <w:szCs w:val="22"/>
        </w:rPr>
        <w:t>One criterion in Table 3.4 is not computed the same way for every model, which decides how it may be read. A method stating a parametric predictive law gives the continuous ranked probability score in closed form; a method stating only a set of quantiles gives an approximation on that grid, and on a three-point grid the approximation understates the score materially. The two are therefore never compared directly: every method is scored a second time on the common grid, those figures are compared across methods, and the closed form is quoted only within the parametric family.</w:t>
      </w:r>
    </w:p>
    <w:p>
      <w:pPr>
        <w:spacing w:after="160" w:line="320"/>
        <w:jc w:val="both"/>
      </w:pPr>
      <w:r>
        <w:rPr>
          <w:rFonts w:ascii="Calibri" w:cs="Calibri" w:eastAsia="Calibri" w:hAnsi="Calibri"/>
          <w:color w:val="111111"/>
          <w:sz w:val="22"/>
          <w:szCs w:val="22"/>
        </w:rPr>
        <w:t>One further quantity is reported alongside the interval criteria and is a measurement rather than a test. If multiplying a fitted predictive spread by a constant improves a proper score, the spread was wrong by about that factor, and the minimising constant measures how wrong in a units-free way that neither coverage nor width supplies alone. It is found by searching the evaluation window itself, so it describes the shortfall rather than correcting it: an in-sample calibration, not a remedy validated out of sample, which this design retains no held-out data to attempt.</w:t>
      </w:r>
    </w:p>
    <w:p>
      <w:pPr>
        <w:pStyle w:val="Heading2"/>
        <w:spacing w:after="180" w:before="320"/>
      </w:pPr>
      <w:r>
        <w:rPr>
          <w:rFonts w:ascii="Calibri" w:cs="Calibri" w:eastAsia="Calibri" w:hAnsi="Calibri"/>
          <w:b/>
          <w:bCs/>
          <w:color w:val="111111"/>
          <w:sz w:val="26"/>
          <w:szCs w:val="26"/>
        </w:rPr>
        <w:t xml:space="preserve">3.8  Computational Requirements and Reproducibility</w:t>
      </w:r>
    </w:p>
    <w:p>
      <w:pPr>
        <w:spacing w:after="160" w:line="320"/>
        <w:jc w:val="both"/>
      </w:pPr>
      <w:r>
        <w:rPr>
          <w:rFonts w:ascii="Calibri" w:cs="Calibri" w:eastAsia="Calibri" w:hAnsi="Calibri"/>
          <w:color w:val="111111"/>
          <w:sz w:val="22"/>
          <w:szCs w:val="22"/>
        </w:rPr>
        <w:t>This section states what the method requires of a machine rather than what it happened to run on. The requirement is modest by design, Section 3.4 arguing that inductive bias suits a sample of this size better than capacity does; deployment is smaller still, so the operational constraint is the availability of the daily realised measure rather than computation. Appendix A.4 states the minimum configuration, each requirement following from the architectures of Section 3.4.</w:t>
      </w:r>
    </w:p>
    <w:p>
      <w:pPr>
        <w:spacing w:after="160" w:line="320"/>
        <w:jc w:val="both"/>
      </w:pPr>
      <w:r>
        <w:rPr>
          <w:rFonts w:ascii="Calibri" w:cs="Calibri" w:eastAsia="Calibri" w:hAnsi="Calibri"/>
          <w:color w:val="111111"/>
          <w:sz w:val="22"/>
          <w:szCs w:val="22"/>
        </w:rPr>
        <w:t>Reproducibility rests on four measures: every stochastic component is seeded, including the dropout masks generating the intervals of Section 3.5; every dependency is pinned in a lock file; one script regenerates every artefact in dependency order; and outputs are written to a versioned directory treated as the source of truth. Pinning is not a formality — rebuilding an artefact under a different interpreter version was found to disagree materially with the committed one, a discrepancy indistinguishable from an error in the method.</w:t>
      </w:r>
    </w:p>
    <w:p>
      <w:pPr>
        <w:pStyle w:val="Heading2"/>
        <w:spacing w:after="180" w:before="320"/>
      </w:pPr>
      <w:r>
        <w:rPr>
          <w:rFonts w:ascii="Calibri" w:cs="Calibri" w:eastAsia="Calibri" w:hAnsi="Calibri"/>
          <w:b/>
          <w:bCs/>
          <w:color w:val="111111"/>
          <w:sz w:val="26"/>
          <w:szCs w:val="26"/>
        </w:rPr>
        <w:t xml:space="preserve">3.9  Transfer to a Second Market</w:t>
      </w:r>
    </w:p>
    <w:p>
      <w:pPr>
        <w:spacing w:after="160" w:line="320"/>
        <w:jc w:val="both"/>
      </w:pPr>
      <w:r>
        <w:rPr>
          <w:rFonts w:ascii="Calibri" w:cs="Calibri" w:eastAsia="Calibri" w:hAnsi="Calibri"/>
          <w:color w:val="111111"/>
          <w:sz w:val="22"/>
          <w:szCs w:val="22"/>
        </w:rPr>
        <w:t>RQ4 asks whether the answers to RQ1–RQ3 are properties of the method or of the market it was developed on. It is answered on a deliberately reduced design, and the reduction is what makes it a check rather than a second study: the econometric baselines and a single deep model, on a target constructed identically, under the same losses and the same tests. That model is the regime-conditioned architecture chosen by the rule stated in Section 3.5 — selected on the one state where the regime effect is both large and carried by a formal test, rather than on the lowest pooled loss, so it need not be the top-ranked model on the primary asset. Re-running the full board would multiply comparisons without adding evidence about transfer.</w:t>
      </w:r>
    </w:p>
    <w:p>
      <w:pPr>
        <w:spacing w:after="160" w:line="320"/>
        <w:jc w:val="both"/>
      </w:pPr>
      <w:r>
        <w:rPr>
          <w:rFonts w:ascii="Calibri" w:cs="Calibri" w:eastAsia="Calibri" w:hAnsi="Calibri"/>
          <w:color w:val="111111"/>
          <w:sz w:val="22"/>
          <w:szCs w:val="22"/>
        </w:rPr>
        <w:t>Three requirements make that check meaningful rather than mechanical. The regime model is re-estimated on each asset rather than carried across, a state path fitted to one market's return distribution not being a description of another's; transferring it would test the map rather than the method. The auxiliary implied-volatility input is dropped wherever the available index prices options on a different market, since that would be a spillover experiment rather than the feature ablation of Section 3.4 — a requirement Table 3.2 already places on the input series. And the modelling frame is assembled by an inner join across sources, so an asset trading on a different exchange calendar yields a different sample; the rows lost to that join are reported rather than absorbed silently.</w:t>
      </w:r>
    </w:p>
    <w:p>
      <w:pPr>
        <w:spacing w:after="160" w:line="320"/>
        <w:jc w:val="both"/>
      </w:pPr>
      <w:r>
        <w:rPr>
          <w:rFonts w:ascii="Calibri" w:cs="Calibri" w:eastAsia="Calibri" w:hAnsi="Calibri"/>
          <w:color w:val="111111"/>
          <w:sz w:val="22"/>
          <w:szCs w:val="22"/>
        </w:rPr>
        <w:t>What the design can establish is bounded, and the bound is worth stating before any result is read. Agreement across markets is evidence that a finding is not an artefact of one series. Disagreement identifies a finding as market-specific without saying which feature of the market is responsible, and where the evaluation windows overlap — as they do wherever the same crisis falls inside both — agreement is not independent evidence either. Section 3.10 carries both readings as residual risk.</w:t>
      </w:r>
    </w:p>
    <w:p>
      <w:pPr>
        <w:pStyle w:val="Heading2"/>
        <w:spacing w:after="180" w:before="320"/>
      </w:pPr>
      <w:r>
        <w:rPr>
          <w:rFonts w:ascii="Calibri" w:cs="Calibri" w:eastAsia="Calibri" w:hAnsi="Calibri"/>
          <w:b/>
          <w:bCs/>
          <w:color w:val="111111"/>
          <w:sz w:val="26"/>
          <w:szCs w:val="26"/>
        </w:rPr>
        <w:t>3.10  Threats to Validity and Mitigation</w:t>
      </w:r>
    </w:p>
    <w:p>
      <w:pPr>
        <w:spacing w:after="160" w:line="320"/>
        <w:jc w:val="both"/>
      </w:pPr>
      <w:r>
        <w:rPr>
          <w:rFonts w:ascii="Calibri" w:cs="Calibri" w:eastAsia="Calibri" w:hAnsi="Calibri"/>
          <w:color w:val="111111"/>
          <w:sz w:val="22"/>
          <w:szCs w:val="22"/>
        </w:rPr>
        <w:t>A design is only as credible as its account of what could undermine it. Table 3.5 sets out the threats, the mitigation adopted for each, and what remains; some are closed structurally, while others are only bounded or declared, and those constrain what the results may be taken to show.</w:t>
      </w:r>
    </w:p>
    <w:p>
      <w:pPr>
        <w:spacing w:after="90" w:before="200"/>
      </w:pPr>
      <w:r>
        <w:rPr>
          <w:rFonts w:ascii="Calibri" w:cs="Calibri" w:eastAsia="Calibri" w:hAnsi="Calibri"/>
          <w:b/>
          <w:bCs/>
          <w:color w:val="111111"/>
          <w:sz w:val="19"/>
          <w:szCs w:val="19"/>
        </w:rPr>
        <w:t>Table 3.5  Threats to validity, mitigation, and residual risk.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0"/>
        <w:gridCol w:w="3400"/>
        <w:gridCol w:w="3286"/>
      </w:tblGrid>
      <w:tr>
        <w:trPr>
          <w:cantSplit/>
          <w:tblHeader/>
        </w:trPr>
        <w:tc>
          <w:tcPr>
            <w:tcW w:type="dxa" w:w="23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Threat</w:t>
            </w:r>
          </w:p>
        </w:tc>
        <w:tc>
          <w:tcPr>
            <w:tcW w:type="dxa" w:w="3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Mitigation</w:t>
            </w:r>
          </w:p>
        </w:tc>
        <w:tc>
          <w:tcPr>
            <w:tcW w:type="dxa" w:w="328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Residual risk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 error: realised variance estimates an unobservable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Proxy-robust losses only (Section 3.7); grid fixed and documented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Coverage is measured against the proxy, not the latent variance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Look-ahead leakage</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Six structural controls across Sections 3.3 and 3.6</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Closed by construction; none identified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Regime labels are estimated</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pipeline is re-run on an independent state estimator (Section 3.3)</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Both share a Gaussian-emission family; dependence on that family stays hidden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One stress episode dominates the window</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Results broken out by state and tested conditionally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crisis subsample is small, so its tests are weak</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Multiple comparisons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Model Confidence Set across models; Holm across the coverage family</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Researcher degrees of freedom</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Penalty grid, floor and rule fixed before any result existed; sensitivity sweep published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The feature set and state-count grid were not pre-registered to the same standard</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Single-seed training</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Every stochastic component seeded and reported</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Reproducible is not robust: a small gap could be initialisation</w:t>
            </w:r>
          </w:p>
        </w:tc>
      </w:tr>
      <w:tr>
        <w:trPr>
          <w:cantSplit/>
          <w:tblHeader w:val="false"/>
        </w:trPr>
        <w:tc>
          <w:tcPr>
            <w:tcW w:type="dxa" w:w="23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A single frequency, and transfer tested on two further indices</w:t>
            </w:r>
          </w:p>
        </w:tc>
        <w:tc>
          <w:tcPr>
            <w:tcW w:type="dxa" w:w="3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Reduced-design replication on a second market and a second session (Section 3.9)</w:t>
            </w:r>
          </w:p>
        </w:tc>
        <w:tc>
          <w:tcPr>
            <w:tcW w:type="dxa" w:w="328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Daily frequency untested elsewhere; the evaluation windows overlap, so agreement across indices is not independent evidence</w:t>
            </w:r>
          </w:p>
        </w:tc>
      </w:tr>
    </w:tbl>
    <w:p>
      <w:pPr>
        <w:spacing w:after="160" w:line="320"/>
        <w:jc w:val="both"/>
      </w:pPr>
      <w:r>
        <w:rPr>
          <w:rFonts w:ascii="Calibri" w:cs="Calibri" w:eastAsia="Calibri" w:hAnsi="Calibri"/>
          <w:color w:val="111111"/>
          <w:sz w:val="22"/>
          <w:szCs w:val="22"/>
        </w:rPr>
        <w:t xml:space="preserve">Two shape interpretation most. Every loss, interval and test is computed against realised variance, an estimate of an unobservable, so a coverage figure describes how often the interval contains the proxy and not the truth. And a single stress episode dominates the out-of-sample window, so results are broken out by state rather than pooled. What this design can establish is therefore bounded: under this protocol, on this market and window, it can determine whether regime conditioning and an uncertainty layer improve forecasts against baselines chosen to close off the competing explanations — but not that those findings transfer elsewhere.</w:t>
      </w:r>
    </w:p>
    <w:p>
      <w:pPr>
        <w:pStyle w:val="Heading2"/>
        <w:spacing w:after="180" w:before="320"/>
      </w:pPr>
      <w:r>
        <w:rPr>
          <w:rFonts w:ascii="Calibri" w:cs="Calibri" w:eastAsia="Calibri" w:hAnsi="Calibri"/>
          <w:b/>
          <w:bCs/>
          <w:color w:val="111111"/>
          <w:sz w:val="26"/>
          <w:szCs w:val="26"/>
        </w:rPr>
        <w:t xml:space="preserve">3.11  Chapter Summary</w:t>
      </w:r>
    </w:p>
    <w:p>
      <w:pPr>
        <w:spacing w:after="160" w:line="320"/>
        <w:jc w:val="both"/>
      </w:pPr>
      <w:r>
        <w:rPr>
          <w:rFonts w:ascii="Calibri" w:cs="Calibri" w:eastAsia="Calibri" w:hAnsi="Calibri"/>
          <w:color w:val="111111"/>
          <w:sz w:val="22"/>
          <w:szCs w:val="22"/>
        </w:rPr>
        <w:t>This chapter has specified a controlled comparative evaluation in which one component varies at a time: Section 3.2 fixes the data interface and the realised-variance target, Section 3.3 the causal jump-penalised regime signal, Section 3.4 the model specifications that turn each research question into a contrast, Section 3.5 the two uncertainty layers, Section 3.6 the leakage-free training protocol, and Section 3.7 the losses and tests. Each research question maps to specific evidence: RQ1 to the QLIKE ranking with its Diebold–Mariano tests and the Model Confidence Set; RQ2 to the Giacomini–White test of conditional predictive ability and the per-state breakdown; RQ3 to coverage, width, the proper scores and the interval backtests; and RQ4 to the reduced replication of Section 3.9. Section 3.10 states what none of it can establish. Chapter 4 reports the values these procedures return.</w:t>
      </w:r>
    </w:p>
    <w:p>
      <w:pPr>
        <w:pStyle w:val="Heading1"/>
        <w:spacing w:before="320" w:after="180"/>
      </w:pPr>
      <w:r>
        <w:rPr>
          <w:rFonts w:ascii="Calibri" w:hAnsi="Calibri"/>
          <w:b/>
        </w:rPr>
        <w:t>References</w:t>
      </w:r>
    </w:p>
    <w:p>
      <w:pPr>
        <w:spacing w:after="160" w:line="320" w:lineRule="auto"/>
        <w:ind w:left="567" w:hanging="567"/>
        <w:jc w:val="left"/>
      </w:pPr>
      <w:r>
        <w:rPr>
          <w:rFonts w:ascii="Calibri" w:hAnsi="Calibri" w:cs="Calibri" w:eastAsia="Calibri"/>
          <w:color w:val="111111"/>
          <w:sz w:val="22"/>
        </w:rPr>
        <w:t xml:space="preserve">Andersen, T.G., Bollerslev, T., Diebold, F.X. and Labys, P., 2003. Modeling and forecasting realized volatility. </w:t>
      </w:r>
      <w:r>
        <w:rPr>
          <w:rFonts w:ascii="Calibri" w:hAnsi="Calibri" w:cs="Calibri" w:eastAsia="Calibri"/>
          <w:i/>
          <w:color w:val="111111"/>
          <w:sz w:val="22"/>
        </w:rPr>
        <w:t>Econometrica</w:t>
      </w:r>
      <w:r>
        <w:rPr>
          <w:rFonts w:ascii="Calibri" w:hAnsi="Calibri" w:cs="Calibri" w:eastAsia="Calibri"/>
          <w:color w:val="111111"/>
          <w:sz w:val="22"/>
        </w:rPr>
        <w:t>, 71(2), pp.579–625. https://doi.org/10.1111/1468-0262.00418</w:t>
      </w:r>
    </w:p>
    <w:p>
      <w:pPr>
        <w:spacing w:after="160" w:line="320" w:lineRule="auto"/>
        <w:ind w:left="567" w:hanging="567"/>
        <w:jc w:val="left"/>
      </w:pPr>
      <w:r>
        <w:rPr>
          <w:rFonts w:ascii="Calibri" w:hAnsi="Calibri" w:cs="Calibri" w:eastAsia="Calibri"/>
          <w:color w:val="111111"/>
          <w:sz w:val="22"/>
        </w:rPr>
        <w:t xml:space="preserve">Bergstra, J. and Bengio, Y., 2012. Random search for hyper-parameter optimization. </w:t>
      </w:r>
      <w:r>
        <w:rPr>
          <w:rFonts w:ascii="Calibri" w:hAnsi="Calibri" w:cs="Calibri" w:eastAsia="Calibri"/>
          <w:i/>
          <w:color w:val="111111"/>
          <w:sz w:val="22"/>
        </w:rPr>
        <w:t>Journal of Machine Learning Research</w:t>
      </w:r>
      <w:r>
        <w:rPr>
          <w:rFonts w:ascii="Calibri" w:hAnsi="Calibri" w:cs="Calibri" w:eastAsia="Calibri"/>
          <w:color w:val="111111"/>
          <w:sz w:val="22"/>
        </w:rPr>
        <w:t>, 13(10), pp.281–305. https://jmlr.org/papers/v13/bergstra12a.html</w:t>
      </w:r>
    </w:p>
    <w:p>
      <w:pPr>
        <w:spacing w:after="160" w:line="320" w:lineRule="auto"/>
        <w:ind w:left="567" w:hanging="567"/>
        <w:jc w:val="left"/>
      </w:pPr>
      <w:r>
        <w:rPr>
          <w:rFonts w:ascii="Calibri" w:hAnsi="Calibri" w:cs="Calibri" w:eastAsia="Calibri"/>
          <w:color w:val="111111"/>
          <w:sz w:val="22"/>
        </w:rPr>
        <w:t xml:space="preserve">Bollerslev, T., 1986. Generalized autoregressive conditional heteroskedasticity. </w:t>
      </w:r>
      <w:r>
        <w:rPr>
          <w:rFonts w:ascii="Calibri" w:hAnsi="Calibri" w:cs="Calibri" w:eastAsia="Calibri"/>
          <w:i/>
          <w:color w:val="111111"/>
          <w:sz w:val="22"/>
        </w:rPr>
        <w:t>Journal of Econometrics</w:t>
      </w:r>
      <w:r>
        <w:rPr>
          <w:rFonts w:ascii="Calibri" w:hAnsi="Calibri" w:cs="Calibri" w:eastAsia="Calibri"/>
          <w:color w:val="111111"/>
          <w:sz w:val="22"/>
        </w:rPr>
        <w:t>, 31(3), pp.307–327. https://doi.org/10.1016/0304-4076(86)90063-1</w:t>
      </w:r>
    </w:p>
    <w:p>
      <w:pPr>
        <w:spacing w:after="160" w:line="320" w:lineRule="auto"/>
        <w:ind w:left="567" w:hanging="567"/>
        <w:jc w:val="left"/>
      </w:pPr>
      <w:r>
        <w:rPr>
          <w:rFonts w:ascii="Calibri" w:hAnsi="Calibri" w:cs="Calibri" w:eastAsia="Calibri"/>
          <w:color w:val="111111"/>
          <w:sz w:val="22"/>
        </w:rPr>
        <w:t xml:space="preserve">Christoffersen, P.F., 1998. Evaluating interval forecasts. </w:t>
      </w:r>
      <w:r>
        <w:rPr>
          <w:rFonts w:ascii="Calibri" w:hAnsi="Calibri" w:cs="Calibri" w:eastAsia="Calibri"/>
          <w:i/>
          <w:color w:val="111111"/>
          <w:sz w:val="22"/>
        </w:rPr>
        <w:t>International Economic Review</w:t>
      </w:r>
      <w:r>
        <w:rPr>
          <w:rFonts w:ascii="Calibri" w:hAnsi="Calibri" w:cs="Calibri" w:eastAsia="Calibri"/>
          <w:color w:val="111111"/>
          <w:sz w:val="22"/>
        </w:rPr>
        <w:t>, 39(4), pp.841–862. https://doi.org/10.2307/2527341</w:t>
      </w:r>
    </w:p>
    <w:p>
      <w:pPr>
        <w:spacing w:after="160" w:line="320" w:lineRule="auto"/>
        <w:ind w:left="567" w:hanging="567"/>
        <w:jc w:val="left"/>
      </w:pPr>
      <w:r>
        <w:rPr>
          <w:rFonts w:ascii="Calibri" w:hAnsi="Calibri" w:cs="Calibri" w:eastAsia="Calibri"/>
          <w:color w:val="111111"/>
          <w:sz w:val="22"/>
        </w:rPr>
        <w:t xml:space="preserve">Corsi, F., 2009. A simple approximate long-memory model of realized volatility. </w:t>
      </w:r>
      <w:r>
        <w:rPr>
          <w:rFonts w:ascii="Calibri" w:hAnsi="Calibri" w:cs="Calibri" w:eastAsia="Calibri"/>
          <w:i/>
          <w:color w:val="111111"/>
          <w:sz w:val="22"/>
        </w:rPr>
        <w:t>Journal of Financial Econometrics</w:t>
      </w:r>
      <w:r>
        <w:rPr>
          <w:rFonts w:ascii="Calibri" w:hAnsi="Calibri" w:cs="Calibri" w:eastAsia="Calibri"/>
          <w:color w:val="111111"/>
          <w:sz w:val="22"/>
        </w:rPr>
        <w:t>, 7(2), pp.174–196. https://doi.org/10.1093/jjfinec/nbp001</w:t>
      </w:r>
    </w:p>
    <w:p>
      <w:pPr>
        <w:spacing w:after="160" w:line="320" w:lineRule="auto"/>
        <w:ind w:left="567" w:hanging="567"/>
        <w:jc w:val="left"/>
      </w:pPr>
      <w:r>
        <w:rPr>
          <w:rFonts w:ascii="Calibri" w:hAnsi="Calibri" w:cs="Calibri" w:eastAsia="Calibri"/>
          <w:color w:val="111111"/>
          <w:sz w:val="22"/>
        </w:rPr>
        <w:t xml:space="preserve">Diebold, F.X. and Mariano, R.S., 1995. Comparing predictive accuracy. </w:t>
      </w:r>
      <w:r>
        <w:rPr>
          <w:rFonts w:ascii="Calibri" w:hAnsi="Calibri" w:cs="Calibri" w:eastAsia="Calibri"/>
          <w:i/>
          <w:color w:val="111111"/>
          <w:sz w:val="22"/>
        </w:rPr>
        <w:t>Journal of Business &amp; Economic Statistics</w:t>
      </w:r>
      <w:r>
        <w:rPr>
          <w:rFonts w:ascii="Calibri" w:hAnsi="Calibri" w:cs="Calibri" w:eastAsia="Calibri"/>
          <w:color w:val="111111"/>
          <w:sz w:val="22"/>
        </w:rPr>
        <w:t>, 13(3), pp.253–263. https://doi.org/10.1080/07350015.1995.10524599</w:t>
      </w:r>
    </w:p>
    <w:p>
      <w:pPr>
        <w:spacing w:after="160" w:line="320" w:lineRule="auto"/>
        <w:ind w:left="567" w:hanging="567"/>
        <w:jc w:val="left"/>
      </w:pPr>
      <w:r>
        <w:rPr>
          <w:rFonts w:ascii="Calibri" w:hAnsi="Calibri" w:cs="Calibri" w:eastAsia="Calibri"/>
          <w:color w:val="111111"/>
          <w:sz w:val="22"/>
        </w:rPr>
        <w:t xml:space="preserve">Duan, N., 1983. Smearing estimate: a nonparametric retransformation method.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78(383), pp.605–610. https://doi.org/10.1080/01621459.1983.10478017</w:t>
      </w:r>
    </w:p>
    <w:p>
      <w:pPr>
        <w:spacing w:after="160" w:line="320" w:lineRule="auto"/>
        <w:ind w:left="567" w:hanging="567"/>
        <w:jc w:val="left"/>
      </w:pPr>
      <w:r>
        <w:rPr>
          <w:rFonts w:ascii="Calibri" w:hAnsi="Calibri" w:cs="Calibri" w:eastAsia="Calibri"/>
          <w:color w:val="111111"/>
          <w:sz w:val="22"/>
        </w:rPr>
        <w:t xml:space="preserve">Engle, R.F. and Manganelli, S., 2004. CAViaR: conditional autoregressive value at risk by regression quantiles. </w:t>
      </w:r>
      <w:r>
        <w:rPr>
          <w:rFonts w:ascii="Calibri" w:hAnsi="Calibri" w:cs="Calibri" w:eastAsia="Calibri"/>
          <w:i/>
          <w:color w:val="111111"/>
          <w:sz w:val="22"/>
        </w:rPr>
        <w:t>Journal of Business &amp; Economic Statistics</w:t>
      </w:r>
      <w:r>
        <w:rPr>
          <w:rFonts w:ascii="Calibri" w:hAnsi="Calibri" w:cs="Calibri" w:eastAsia="Calibri"/>
          <w:color w:val="111111"/>
          <w:sz w:val="22"/>
        </w:rPr>
        <w:t>, 22(4), pp.367–381. https://doi.org/10.1198/073500104000000370</w:t>
      </w:r>
    </w:p>
    <w:p>
      <w:pPr>
        <w:spacing w:after="160" w:line="320" w:lineRule="auto"/>
        <w:ind w:left="567" w:hanging="567"/>
        <w:jc w:val="left"/>
      </w:pPr>
      <w:r>
        <w:rPr>
          <w:rFonts w:ascii="Calibri" w:hAnsi="Calibri" w:cs="Calibri" w:eastAsia="Calibri"/>
          <w:color w:val="111111"/>
          <w:sz w:val="22"/>
        </w:rPr>
        <w:t xml:space="preserve">Gal, Y. and Ghahramani, Z., 2016. Dropout as a Bayesian approximation: representing model uncertainty in deep learning. In: </w:t>
      </w:r>
      <w:r>
        <w:rPr>
          <w:rFonts w:ascii="Calibri" w:hAnsi="Calibri" w:cs="Calibri" w:eastAsia="Calibri"/>
          <w:i/>
          <w:color w:val="111111"/>
          <w:sz w:val="22"/>
        </w:rPr>
        <w:t>Proceedings of the 33rd International Conference on Machine Learning (ICML)</w:t>
      </w:r>
      <w:r>
        <w:rPr>
          <w:rFonts w:ascii="Calibri" w:hAnsi="Calibri" w:cs="Calibri" w:eastAsia="Calibri"/>
          <w:color w:val="111111"/>
          <w:sz w:val="22"/>
        </w:rPr>
        <w:t>, New York, USA, 19–24 June 2016. PMLR 48, pp.1050–1059.</w:t>
      </w:r>
    </w:p>
    <w:p>
      <w:pPr>
        <w:spacing w:after="160" w:line="320" w:lineRule="auto"/>
        <w:ind w:left="567" w:hanging="567"/>
        <w:jc w:val="left"/>
      </w:pPr>
      <w:r>
        <w:rPr>
          <w:rFonts w:ascii="Calibri" w:hAnsi="Calibri" w:cs="Calibri" w:eastAsia="Calibri"/>
          <w:color w:val="111111"/>
          <w:sz w:val="22"/>
        </w:rPr>
        <w:t xml:space="preserve">Giacomini, R. and White, H., 2006. Tests of conditional predictive ability. </w:t>
      </w:r>
      <w:r>
        <w:rPr>
          <w:rFonts w:ascii="Calibri" w:hAnsi="Calibri" w:cs="Calibri" w:eastAsia="Calibri"/>
          <w:i/>
          <w:color w:val="111111"/>
          <w:sz w:val="22"/>
        </w:rPr>
        <w:t>Econometrica</w:t>
      </w:r>
      <w:r>
        <w:rPr>
          <w:rFonts w:ascii="Calibri" w:hAnsi="Calibri" w:cs="Calibri" w:eastAsia="Calibri"/>
          <w:color w:val="111111"/>
          <w:sz w:val="22"/>
        </w:rPr>
        <w:t>, 74(6), pp.1545–1578. https://doi.org/10.1111/j.1468-0262.2006.00718.x</w:t>
      </w:r>
    </w:p>
    <w:p>
      <w:pPr>
        <w:spacing w:after="160" w:line="320" w:lineRule="auto"/>
        <w:ind w:left="567" w:hanging="567"/>
        <w:jc w:val="left"/>
      </w:pPr>
      <w:r>
        <w:rPr>
          <w:rFonts w:ascii="Calibri" w:hAnsi="Calibri" w:cs="Calibri" w:eastAsia="Calibri"/>
          <w:color w:val="111111"/>
          <w:sz w:val="22"/>
        </w:rPr>
        <w:t xml:space="preserve">Gneiting, T. and Raftery, A.E., 2007. Strictly proper scoring rules, prediction, and estimation.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xml:space="preserve">, 102(477), pp.359–378. </w:t>
      </w:r>
      <w:r>
        <w:rPr>
          <w:rFonts w:ascii="Calibri" w:hAnsi="Calibri" w:cs="Calibri" w:eastAsia="Calibri"/>
          <w:color w:val="111111"/>
          <w:sz w:val="22"/>
        </w:rPr>
        <w:t>https://doi.org/10.1198/016214506000001437</w:t>
      </w:r>
    </w:p>
    <w:p>
      <w:pPr>
        <w:spacing w:after="160" w:line="320" w:lineRule="auto"/>
        <w:ind w:left="567" w:hanging="567"/>
        <w:jc w:val="left"/>
      </w:pPr>
      <w:r>
        <w:rPr>
          <w:rFonts w:ascii="Calibri" w:hAnsi="Calibri" w:cs="Calibri" w:eastAsia="Calibri"/>
          <w:color w:val="111111"/>
          <w:sz w:val="22"/>
        </w:rPr>
        <w:t xml:space="preserve">Hamilton, J.D., 1989. A new approach to the economic analysis of nonstationary time series and the business cycle. </w:t>
      </w:r>
      <w:r>
        <w:rPr>
          <w:rFonts w:ascii="Calibri" w:hAnsi="Calibri" w:cs="Calibri" w:eastAsia="Calibri"/>
          <w:i/>
          <w:color w:val="111111"/>
          <w:sz w:val="22"/>
        </w:rPr>
        <w:t>Econometrica</w:t>
      </w:r>
      <w:r>
        <w:rPr>
          <w:rFonts w:ascii="Calibri" w:hAnsi="Calibri" w:cs="Calibri" w:eastAsia="Calibri"/>
          <w:color w:val="111111"/>
          <w:sz w:val="22"/>
        </w:rPr>
        <w:t>, 57(2), pp.357–384. https://doi.org/10.2307/1912559</w:t>
      </w:r>
    </w:p>
    <w:p>
      <w:pPr>
        <w:spacing w:after="160" w:line="320" w:lineRule="auto"/>
        <w:ind w:left="567" w:hanging="567"/>
        <w:jc w:val="left"/>
      </w:pPr>
      <w:r>
        <w:rPr>
          <w:rFonts w:ascii="Calibri" w:hAnsi="Calibri" w:cs="Calibri" w:eastAsia="Calibri"/>
          <w:color w:val="111111"/>
          <w:sz w:val="22"/>
        </w:rPr>
        <w:t xml:space="preserve">Hansen, P.R., Lunde, A. and Nason, J.M., 2011. The model confidence set. </w:t>
      </w:r>
      <w:r>
        <w:rPr>
          <w:rFonts w:ascii="Calibri" w:hAnsi="Calibri" w:cs="Calibri" w:eastAsia="Calibri"/>
          <w:i/>
          <w:color w:val="111111"/>
          <w:sz w:val="22"/>
        </w:rPr>
        <w:t>Econometrica</w:t>
      </w:r>
      <w:r>
        <w:rPr>
          <w:rFonts w:ascii="Calibri" w:hAnsi="Calibri" w:cs="Calibri" w:eastAsia="Calibri"/>
          <w:color w:val="111111"/>
          <w:sz w:val="22"/>
        </w:rPr>
        <w:t>, 79(2), pp.453–497. https://doi.org/10.3982/ECTA5771</w:t>
      </w:r>
    </w:p>
    <w:p>
      <w:pPr>
        <w:spacing w:after="160" w:line="320" w:lineRule="auto"/>
        <w:ind w:left="567" w:hanging="567"/>
        <w:jc w:val="left"/>
      </w:pPr>
      <w:r>
        <w:rPr>
          <w:rFonts w:ascii="Calibri" w:hAnsi="Calibri" w:cs="Calibri" w:eastAsia="Calibri"/>
          <w:color w:val="111111"/>
          <w:sz w:val="22"/>
        </w:rPr>
        <w:t xml:space="preserve">Harvey, D., Leybourne, S. and Newbold, P., 1997. Testing the equality of prediction mean squared errors. </w:t>
      </w:r>
      <w:r>
        <w:rPr>
          <w:rFonts w:ascii="Calibri" w:hAnsi="Calibri" w:cs="Calibri" w:eastAsia="Calibri"/>
          <w:i/>
          <w:color w:val="111111"/>
          <w:sz w:val="22"/>
        </w:rPr>
        <w:t>International Journal of Forecasting</w:t>
      </w:r>
      <w:r>
        <w:rPr>
          <w:rFonts w:ascii="Calibri" w:hAnsi="Calibri" w:cs="Calibri" w:eastAsia="Calibri"/>
          <w:color w:val="111111"/>
          <w:sz w:val="22"/>
        </w:rPr>
        <w:t>, 13(2), pp.281–291. https://doi.org/10.1016/S0169-2070(96)00719-4</w:t>
      </w:r>
    </w:p>
    <w:p>
      <w:pPr>
        <w:spacing w:after="160" w:line="320" w:lineRule="auto"/>
        <w:ind w:left="567" w:hanging="567"/>
        <w:jc w:val="left"/>
      </w:pPr>
      <w:r>
        <w:rPr>
          <w:rFonts w:ascii="Calibri" w:hAnsi="Calibri" w:cs="Calibri" w:eastAsia="Calibri"/>
          <w:color w:val="111111"/>
          <w:sz w:val="22"/>
        </w:rPr>
        <w:t xml:space="preserve">Hochreiter, S. and Schmidhuber, J., 1997. </w:t>
      </w:r>
      <w:r>
        <w:rPr>
          <w:rFonts w:ascii="Calibri" w:hAnsi="Calibri" w:cs="Calibri" w:eastAsia="Calibri"/>
          <w:color w:val="111111"/>
          <w:sz w:val="22"/>
        </w:rPr>
        <w:t xml:space="preserve">Long short-term memory. </w:t>
      </w:r>
      <w:r>
        <w:rPr>
          <w:rFonts w:ascii="Calibri" w:hAnsi="Calibri" w:cs="Calibri" w:eastAsia="Calibri"/>
          <w:i/>
          <w:color w:val="111111"/>
          <w:sz w:val="22"/>
        </w:rPr>
        <w:t>Neural Computation</w:t>
      </w:r>
      <w:r>
        <w:rPr>
          <w:rFonts w:ascii="Calibri" w:hAnsi="Calibri" w:cs="Calibri" w:eastAsia="Calibri"/>
          <w:color w:val="111111"/>
          <w:sz w:val="22"/>
        </w:rPr>
        <w:t>, 9(8), pp.1735–1780. https://doi.org/10.1162/neco.1997.9.8.1735</w:t>
      </w:r>
    </w:p>
    <w:p>
      <w:pPr>
        <w:spacing w:after="160" w:line="320" w:lineRule="auto"/>
        <w:ind w:left="567" w:hanging="567"/>
        <w:jc w:val="left"/>
      </w:pPr>
      <w:r>
        <w:rPr>
          <w:rFonts w:ascii="Calibri" w:hAnsi="Calibri" w:cs="Calibri" w:eastAsia="Calibri"/>
          <w:color w:val="111111"/>
          <w:sz w:val="22"/>
        </w:rPr>
        <w:t xml:space="preserve">Holm, S., 1979. A simple sequentially rejective multiple test procedure. </w:t>
      </w:r>
      <w:r>
        <w:rPr>
          <w:rFonts w:ascii="Calibri" w:hAnsi="Calibri" w:cs="Calibri" w:eastAsia="Calibri"/>
          <w:i/>
          <w:color w:val="111111"/>
          <w:sz w:val="22"/>
        </w:rPr>
        <w:t>Scandinavian Journal of Statistics</w:t>
      </w:r>
      <w:r>
        <w:rPr>
          <w:rFonts w:ascii="Calibri" w:hAnsi="Calibri" w:cs="Calibri" w:eastAsia="Calibri"/>
          <w:color w:val="111111"/>
          <w:sz w:val="22"/>
        </w:rPr>
        <w:t>, 6(2), pp.65–70.</w:t>
      </w:r>
    </w:p>
    <w:p>
      <w:pPr>
        <w:spacing w:after="160" w:line="320" w:lineRule="auto"/>
        <w:ind w:left="567" w:hanging="567"/>
        <w:jc w:val="left"/>
      </w:pPr>
      <w:r>
        <w:rPr>
          <w:rFonts w:ascii="Calibri" w:hAnsi="Calibri" w:cs="Calibri" w:eastAsia="Calibri"/>
          <w:color w:val="111111"/>
          <w:sz w:val="22"/>
        </w:rPr>
        <w:t xml:space="preserve">Jacobs, R.A., Jordan, M.I., Nowlan, S.J. and Hinton, G.E., 1991. Adaptive mixtures of local experts. </w:t>
      </w:r>
      <w:r>
        <w:rPr>
          <w:rFonts w:ascii="Calibri" w:hAnsi="Calibri" w:cs="Calibri" w:eastAsia="Calibri"/>
          <w:i/>
          <w:color w:val="111111"/>
          <w:sz w:val="22"/>
        </w:rPr>
        <w:t>Neural Computation</w:t>
      </w:r>
      <w:r>
        <w:rPr>
          <w:rFonts w:ascii="Calibri" w:hAnsi="Calibri" w:cs="Calibri" w:eastAsia="Calibri"/>
          <w:color w:val="111111"/>
          <w:sz w:val="22"/>
        </w:rPr>
        <w:t>, 3(1), pp.79–87. https://doi.org/10.1162/neco.1991.3.1.79</w:t>
      </w:r>
    </w:p>
    <w:p>
      <w:pPr>
        <w:spacing w:after="160" w:line="320" w:lineRule="auto"/>
        <w:ind w:left="567" w:hanging="567"/>
        <w:jc w:val="left"/>
      </w:pPr>
      <w:r>
        <w:rPr>
          <w:rFonts w:ascii="Calibri" w:hAnsi="Calibri" w:cs="Calibri" w:eastAsia="Calibri"/>
          <w:color w:val="111111"/>
          <w:sz w:val="22"/>
        </w:rPr>
        <w:t xml:space="preserve">Koenker, R. and Bassett, G., 1978. Regression quantiles. </w:t>
      </w:r>
      <w:r>
        <w:rPr>
          <w:rFonts w:ascii="Calibri" w:hAnsi="Calibri" w:cs="Calibri" w:eastAsia="Calibri"/>
          <w:i/>
          <w:color w:val="111111"/>
          <w:sz w:val="22"/>
        </w:rPr>
        <w:t>Econometrica</w:t>
      </w:r>
      <w:r>
        <w:rPr>
          <w:rFonts w:ascii="Calibri" w:hAnsi="Calibri" w:cs="Calibri" w:eastAsia="Calibri"/>
          <w:color w:val="111111"/>
          <w:sz w:val="22"/>
        </w:rPr>
        <w:t>, 46(1), pp.33–50. https://doi.org/10.2307/1913643</w:t>
      </w:r>
    </w:p>
    <w:p>
      <w:pPr>
        <w:spacing w:after="160" w:line="320" w:lineRule="auto"/>
        <w:ind w:left="567" w:hanging="567"/>
        <w:jc w:val="left"/>
      </w:pPr>
      <w:r>
        <w:rPr>
          <w:rFonts w:ascii="Calibri" w:hAnsi="Calibri" w:cs="Calibri" w:eastAsia="Calibri"/>
          <w:color w:val="111111"/>
          <w:sz w:val="22"/>
        </w:rPr>
        <w:t xml:space="preserve">Kupiec, P.H., 1995. Techniques for verifying the accuracy of risk measurement models. </w:t>
      </w:r>
      <w:r>
        <w:rPr>
          <w:rFonts w:ascii="Calibri" w:hAnsi="Calibri" w:cs="Calibri" w:eastAsia="Calibri"/>
          <w:i/>
          <w:color w:val="111111"/>
          <w:sz w:val="22"/>
        </w:rPr>
        <w:t>The Journal of Derivatives</w:t>
      </w:r>
      <w:r>
        <w:rPr>
          <w:rFonts w:ascii="Calibri" w:hAnsi="Calibri" w:cs="Calibri" w:eastAsia="Calibri"/>
          <w:color w:val="111111"/>
          <w:sz w:val="22"/>
        </w:rPr>
        <w:t>, 3(2), pp.73–84. https://doi.org/10.3905/jod.1995.407942</w:t>
      </w:r>
    </w:p>
    <w:p>
      <w:pPr>
        <w:spacing w:after="160" w:line="320" w:lineRule="auto"/>
        <w:ind w:left="567" w:hanging="567"/>
        <w:jc w:val="left"/>
      </w:pPr>
      <w:r>
        <w:rPr>
          <w:rFonts w:ascii="Calibri" w:hAnsi="Calibri" w:cs="Calibri" w:eastAsia="Calibri"/>
          <w:color w:val="111111"/>
          <w:sz w:val="22"/>
        </w:rPr>
        <w:t xml:space="preserve">Lim, B. and Zohren, S., 2021. Time-series forecasting with deep learning: a survey. </w:t>
      </w:r>
      <w:r>
        <w:rPr>
          <w:rFonts w:ascii="Calibri" w:hAnsi="Calibri" w:cs="Calibri" w:eastAsia="Calibri"/>
          <w:i/>
          <w:color w:val="111111"/>
          <w:sz w:val="22"/>
        </w:rPr>
        <w:t>Philosophical Transactions of the Royal Society A</w:t>
      </w:r>
      <w:r>
        <w:rPr>
          <w:rFonts w:ascii="Calibri" w:hAnsi="Calibri" w:cs="Calibri" w:eastAsia="Calibri"/>
          <w:color w:val="111111"/>
          <w:sz w:val="22"/>
        </w:rPr>
        <w:t xml:space="preserve">, 379(2194), 20200209. </w:t>
      </w:r>
      <w:r>
        <w:rPr>
          <w:rFonts w:ascii="Calibri" w:hAnsi="Calibri" w:cs="Calibri" w:eastAsia="Calibri"/>
          <w:color w:val="111111"/>
          <w:sz w:val="22"/>
        </w:rPr>
        <w:t>https://doi.org/10.1098/rsta.2020.0209</w:t>
      </w:r>
    </w:p>
    <w:p>
      <w:pPr>
        <w:spacing w:after="160" w:line="320" w:lineRule="auto"/>
        <w:ind w:left="567" w:hanging="567"/>
        <w:jc w:val="left"/>
      </w:pPr>
      <w:r>
        <w:rPr>
          <w:rFonts w:ascii="Calibri" w:hAnsi="Calibri" w:cs="Calibri" w:eastAsia="Calibri"/>
          <w:color w:val="111111"/>
          <w:sz w:val="22"/>
        </w:rPr>
        <w:t xml:space="preserve">Lim, B., Arık, S.Ö., Loeff, N. and Pfister, T., 2021. Temporal fusion transformers for interpretable multi-horizon time series forecasting. </w:t>
      </w:r>
      <w:r>
        <w:rPr>
          <w:rFonts w:ascii="Calibri" w:hAnsi="Calibri" w:cs="Calibri" w:eastAsia="Calibri"/>
          <w:i/>
          <w:color w:val="111111"/>
          <w:sz w:val="22"/>
        </w:rPr>
        <w:t>International Journal of Forecasting</w:t>
      </w:r>
      <w:r>
        <w:rPr>
          <w:rFonts w:ascii="Calibri" w:hAnsi="Calibri" w:cs="Calibri" w:eastAsia="Calibri"/>
          <w:color w:val="111111"/>
          <w:sz w:val="22"/>
        </w:rPr>
        <w:t>, 37(4), pp.1748–1764. https://doi.org/10.1016/j.ijforecast.2021.03.012</w:t>
      </w:r>
    </w:p>
    <w:p>
      <w:pPr>
        <w:spacing w:after="160" w:line="320" w:lineRule="auto"/>
        <w:ind w:left="567" w:hanging="567"/>
        <w:jc w:val="left"/>
      </w:pPr>
      <w:r>
        <w:rPr>
          <w:rFonts w:ascii="Calibri" w:hAnsi="Calibri" w:cs="Calibri" w:eastAsia="Calibri"/>
          <w:color w:val="111111"/>
          <w:sz w:val="22"/>
        </w:rPr>
        <w:t xml:space="preserve">Liu, L.Y., Patton, A.J. and Sheppard, K., 2015. Does anything beat 5-minute RV? A comparison of realized measures across multiple asset classes. </w:t>
      </w:r>
      <w:r>
        <w:rPr>
          <w:rFonts w:ascii="Calibri" w:hAnsi="Calibri" w:cs="Calibri" w:eastAsia="Calibri"/>
          <w:i/>
          <w:color w:val="111111"/>
          <w:sz w:val="22"/>
        </w:rPr>
        <w:t>Journal of Econometrics</w:t>
      </w:r>
      <w:r>
        <w:rPr>
          <w:rFonts w:ascii="Calibri" w:hAnsi="Calibri" w:cs="Calibri" w:eastAsia="Calibri"/>
          <w:color w:val="111111"/>
          <w:sz w:val="22"/>
        </w:rPr>
        <w:t>, 187(1), pp.293–311. https://doi.org/10.1016/j.jeconom.2015.02.008</w:t>
      </w:r>
    </w:p>
    <w:p>
      <w:pPr>
        <w:spacing w:after="160" w:line="320" w:lineRule="auto"/>
        <w:ind w:left="567" w:hanging="567"/>
        <w:jc w:val="left"/>
      </w:pPr>
      <w:r>
        <w:rPr>
          <w:rFonts w:ascii="Calibri" w:hAnsi="Calibri" w:cs="Calibri" w:eastAsia="Calibri"/>
          <w:color w:val="111111"/>
          <w:sz w:val="22"/>
        </w:rPr>
        <w:t xml:space="preserve">Nelson, D.B., 1991. Conditional heteroskedasticity in asset returns: a new approach. </w:t>
      </w:r>
      <w:r>
        <w:rPr>
          <w:rFonts w:ascii="Calibri" w:hAnsi="Calibri" w:cs="Calibri" w:eastAsia="Calibri"/>
          <w:i/>
          <w:color w:val="111111"/>
          <w:sz w:val="22"/>
        </w:rPr>
        <w:t>Econometrica</w:t>
      </w:r>
      <w:r>
        <w:rPr>
          <w:rFonts w:ascii="Calibri" w:hAnsi="Calibri" w:cs="Calibri" w:eastAsia="Calibri"/>
          <w:color w:val="111111"/>
          <w:sz w:val="22"/>
        </w:rPr>
        <w:t>, 59(2), pp.347–370. https://doi.org/10.2307/2938260</w:t>
      </w:r>
    </w:p>
    <w:p>
      <w:pPr>
        <w:spacing w:after="160" w:line="320" w:lineRule="auto"/>
        <w:ind w:left="567" w:hanging="567"/>
        <w:jc w:val="left"/>
      </w:pPr>
      <w:r>
        <w:rPr>
          <w:rFonts w:ascii="Calibri" w:hAnsi="Calibri" w:cs="Calibri" w:eastAsia="Calibri"/>
          <w:color w:val="111111"/>
          <w:sz w:val="22"/>
        </w:rPr>
        <w:t xml:space="preserve">Newey, W.K. and West, K.D., 1987. A simple, positive semi-definite, heteroskedasticity and autocorrelation consistent covariance matrix. </w:t>
      </w:r>
      <w:r>
        <w:rPr>
          <w:rFonts w:ascii="Calibri" w:hAnsi="Calibri" w:cs="Calibri" w:eastAsia="Calibri"/>
          <w:i/>
          <w:color w:val="111111"/>
          <w:sz w:val="22"/>
        </w:rPr>
        <w:t>Econometrica</w:t>
      </w:r>
      <w:r>
        <w:rPr>
          <w:rFonts w:ascii="Calibri" w:hAnsi="Calibri" w:cs="Calibri" w:eastAsia="Calibri"/>
          <w:color w:val="111111"/>
          <w:sz w:val="22"/>
        </w:rPr>
        <w:t>, 55(3), pp.703–708. https://doi.org/10.2307/1913610</w:t>
      </w:r>
    </w:p>
    <w:p>
      <w:pPr>
        <w:spacing w:after="160" w:line="320" w:lineRule="auto"/>
        <w:ind w:left="567" w:hanging="567"/>
        <w:jc w:val="left"/>
      </w:pPr>
      <w:r>
        <w:rPr>
          <w:rFonts w:ascii="Calibri" w:hAnsi="Calibri" w:cs="Calibri" w:eastAsia="Calibri"/>
          <w:color w:val="111111"/>
          <w:sz w:val="22"/>
        </w:rPr>
        <w:t xml:space="preserve">Nystrup, P., Lindström, E. and Madsen, H., 2020. Learning hidden Markov models with persistent states by penalizing jumps. </w:t>
      </w:r>
      <w:r>
        <w:rPr>
          <w:rFonts w:ascii="Calibri" w:hAnsi="Calibri" w:cs="Calibri" w:eastAsia="Calibri"/>
          <w:i/>
          <w:color w:val="111111"/>
          <w:sz w:val="22"/>
        </w:rPr>
        <w:t>Expert Systems with Applications</w:t>
      </w:r>
      <w:r>
        <w:rPr>
          <w:rFonts w:ascii="Calibri" w:hAnsi="Calibri" w:cs="Calibri" w:eastAsia="Calibri"/>
          <w:color w:val="111111"/>
          <w:sz w:val="22"/>
        </w:rPr>
        <w:t>, 150, 113307. https://doi.org/10.1016/j.eswa.2020.113307</w:t>
      </w:r>
    </w:p>
    <w:p>
      <w:pPr>
        <w:spacing w:after="160" w:line="320" w:lineRule="auto"/>
        <w:ind w:left="567" w:hanging="567"/>
        <w:jc w:val="left"/>
      </w:pPr>
      <w:r>
        <w:rPr>
          <w:rFonts w:ascii="Calibri" w:hAnsi="Calibri" w:cs="Calibri" w:eastAsia="Calibri"/>
          <w:color w:val="111111"/>
          <w:sz w:val="22"/>
        </w:rPr>
        <w:t xml:space="preserve">Patton, A.J., 2011. Volatility forecast comparison using imperfect volatility proxies. </w:t>
      </w:r>
      <w:r>
        <w:rPr>
          <w:rFonts w:ascii="Calibri" w:hAnsi="Calibri" w:cs="Calibri" w:eastAsia="Calibri"/>
          <w:i/>
          <w:color w:val="111111"/>
          <w:sz w:val="22"/>
        </w:rPr>
        <w:t>Journal of Econometrics</w:t>
      </w:r>
      <w:r>
        <w:rPr>
          <w:rFonts w:ascii="Calibri" w:hAnsi="Calibri" w:cs="Calibri" w:eastAsia="Calibri"/>
          <w:color w:val="111111"/>
          <w:sz w:val="22"/>
        </w:rPr>
        <w:t xml:space="preserve">, 160(1), pp.246–256. https://doi.org/10.1016/j.jeconom.2010.03.034 </w:t>
      </w:r>
    </w:p>
    <w:p>
      <w:pPr>
        <w:spacing w:after="160" w:line="320" w:lineRule="auto"/>
        <w:ind w:left="567" w:hanging="567"/>
        <w:jc w:val="left"/>
      </w:pPr>
      <w:r>
        <w:rPr>
          <w:rFonts w:ascii="Calibri" w:hAnsi="Calibri" w:cs="Calibri" w:eastAsia="Calibri"/>
          <w:color w:val="111111"/>
          <w:sz w:val="22"/>
        </w:rPr>
        <w:t xml:space="preserve">Politis, D.N. and Romano, J.P., 1994. The stationary bootstrap. </w:t>
      </w:r>
      <w:r>
        <w:rPr>
          <w:rFonts w:ascii="Calibri" w:hAnsi="Calibri" w:cs="Calibri" w:eastAsia="Calibri"/>
          <w:i/>
          <w:color w:val="111111"/>
          <w:sz w:val="22"/>
        </w:rPr>
        <w:t>Journal of the American Statistical Association</w:t>
      </w:r>
      <w:r>
        <w:rPr>
          <w:rFonts w:ascii="Calibri" w:hAnsi="Calibri" w:cs="Calibri" w:eastAsia="Calibri"/>
          <w:color w:val="111111"/>
          <w:sz w:val="22"/>
        </w:rPr>
        <w:t>, 89(428), pp.1303–1313. https://doi.org/10.1080/01621459.1994.10476870</w:t>
      </w:r>
    </w:p>
    <w:p>
      <w:pPr>
        <w:spacing w:after="160" w:line="320" w:lineRule="auto"/>
        <w:ind w:left="567" w:hanging="567"/>
        <w:jc w:val="left"/>
      </w:pPr>
      <w:r>
        <w:rPr>
          <w:rFonts w:ascii="Calibri" w:hAnsi="Calibri" w:cs="Calibri" w:eastAsia="Calibri"/>
          <w:color w:val="111111"/>
          <w:sz w:val="22"/>
        </w:rPr>
        <w:t xml:space="preserve">Vaswani, A., Shazeer, N., Parmar, N., Uszkoreit, J., Jones, L., Gomez, A.N., Kaiser, Ł. and Polosukhin, I., 2017. Attention is all you need. In: </w:t>
      </w:r>
      <w:r>
        <w:rPr>
          <w:rFonts w:ascii="Calibri" w:hAnsi="Calibri" w:cs="Calibri" w:eastAsia="Calibri"/>
          <w:i/>
          <w:color w:val="111111"/>
          <w:sz w:val="22"/>
        </w:rPr>
        <w:t>Advances in Neural Information Processing Systems 30 (NeurIPS 2017)</w:t>
      </w:r>
      <w:r>
        <w:rPr>
          <w:rFonts w:ascii="Calibri" w:hAnsi="Calibri" w:cs="Calibri" w:eastAsia="Calibri"/>
          <w:color w:val="111111"/>
          <w:sz w:val="22"/>
        </w:rPr>
        <w:t>.</w:t>
      </w:r>
    </w:p>
    <w:p>
      <w:pPr>
        <w:spacing w:after="160" w:line="320" w:lineRule="auto"/>
        <w:ind w:left="567" w:hanging="567"/>
        <w:jc w:val="left"/>
      </w:pPr>
      <w:r>
        <w:rPr>
          <w:rFonts w:ascii="Calibri" w:hAnsi="Calibri" w:cs="Calibri" w:eastAsia="Calibri"/>
          <w:color w:val="111111"/>
          <w:sz w:val="22"/>
        </w:rPr>
        <w:t xml:space="preserve">Zeng, A., Chen, M., Zhang, L. and Xu, Q., 2023. Are transformers effective for time series forecasting? </w:t>
      </w:r>
      <w:r>
        <w:rPr>
          <w:rFonts w:ascii="Calibri" w:hAnsi="Calibri" w:cs="Calibri" w:eastAsia="Calibri"/>
          <w:i/>
          <w:color w:val="111111"/>
          <w:sz w:val="22"/>
        </w:rPr>
        <w:t>Proceedings of the AAAI Conference on Artificial Intelligence</w:t>
      </w:r>
      <w:r>
        <w:rPr>
          <w:rFonts w:ascii="Calibri" w:hAnsi="Calibri" w:cs="Calibri" w:eastAsia="Calibri"/>
          <w:color w:val="111111"/>
          <w:sz w:val="22"/>
        </w:rPr>
        <w:t>, 37(9), pp.11121–11128. https://doi.org/10.1609/aaai.v37i9.26317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