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AltHeading1"/>
        <w:spacing w:after="180" w:before="320"/>
      </w:pPr>
      <w:r>
        <w:rPr>
          <w:rFonts w:ascii="Calibri" w:cs="Calibri" w:eastAsia="Calibri" w:hAnsi="Calibri"/>
          <w:b/>
          <w:bCs/>
          <w:color w:val="111111"/>
          <w:sz w:val="30"/>
          <w:szCs w:val="30"/>
        </w:rPr>
        <w:t xml:space="preserve">Appendices</w:t>
      </w:r>
    </w:p>
    <w:p>
      <w:pPr>
        <w:pStyle w:val="AltHeading2"/>
        <w:spacing w:after="180" w:before="320"/>
      </w:pPr>
      <w:r>
        <w:rPr>
          <w:rFonts w:ascii="Calibri" w:cs="Calibri" w:eastAsia="Calibri" w:hAnsi="Calibri"/>
          <w:b/>
          <w:bCs/>
          <w:color w:val="111111"/>
          <w:sz w:val="26"/>
          <w:szCs w:val="26"/>
        </w:rPr>
        <w:t>Appendix C: Methodology specification tables</w:t>
      </w:r>
    </w:p>
    <w:p>
      <w:pPr>
        <w:pStyle w:val="Caption"/>
      </w:pPr>
      <w:r>
        <w:t>Table C.1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bl>
    <w:p>
      <w:pPr>
        <w:pStyle w:val="Caption"/>
      </w:pPr>
      <w:r>
        <w:t>Table C.2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open-to-close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 in logs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pStyle w:val="Caption"/>
      </w:pPr>
      <w:r>
        <w:t>Table C.3  Hyperparameters: meaning, candidates, selection and expected effect. Selected values are reported in Chapter 4, being outcomes of the procedure.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pStyle w:val="Caption"/>
      </w:pPr>
      <w:r>
        <w:t>Table C.4  Settings of the evaluation procedures. Table 3.4 states what each procedure establishes and cites its source; this table fixes the values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Procedure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Settings as configured</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Loss computation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QLIKE primary, MSE secondary; both arguments floored at 1e-16 before any logarithm or division.</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Diebold–Mariano</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Newey–West Bartlett long-run variance, the lag the larger of h − 1 and the integer part of the cube root of n, hence 9 at n = 784; Harvey–Leybourne–Newbold small-sample rescaling; two-sided Student-t on n − 1 degrees of freedom. The lag is swept from 0 to 30 as a sensitivity.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Giacomini–White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set the three t−1 regime indicators, or a constant with the lagged loss differential; horizon 1, so no HAC lag. The long-run covariance is mean-centred, with the uncentred estimator reported beside it.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Confidence Set</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 = 0.10; range elimination statistic; stationary bootstrap, 2,000 replications, expected block length 10, seed 17.</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Interval levels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90% headline; 95% additionally for the methods stating a predictive law; endpoints floored at 1e-14 on the variance scale.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Coverage backtests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Kupiec and Christoffersen likelihood ratios; dynamic quantile on a constant, four lagged hits and, where stated, the t−1 regime indicators.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Multiplicity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Holm within each family of method, level and tail, the size of the family reported on every row.</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timing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Every conditional statistic buckets on the t−1 filtered state, and every regressor entering a conditional test is lagged to that same information set.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 sampling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 Monte Carlo dropout passes with mask seed 17; the quantile head trained at the 5th, 50th and 95th percentiles.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Reproducibility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Seed 17 for every stochastic component; each run writes its resolved configuration and library versions beside its outputs.</w:t>
            </w:r>
          </w:p>
        </w:tc>
      </w:tr>
    </w:tbl>
    <w:p>
      <w:pPr>
        <w:pStyle w:val="Caption"/>
      </w:pPr>
      <w:r>
        <w:t>Table C.5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Single precision; a few megabytes at any width in the Appendix C.3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 w:type="paragraph" w:customStyle="1" w:styleId="AltHeading1">
    <w:name w:val="Alt Heading 1"/>
    <w:basedOn w:val="Heading1"/>
    <w:qFormat/>
    <w:pPr>
      <w:numPr>
        <w:numId w:val="0"/>
      </w:numPr>
    </w:pPr>
  </w:style>
  <w:style w:type="paragraph" w:customStyle="1" w:styleId="AltHeading2">
    <w:name w:val="Alt Heading 2"/>
    <w:basedOn w:val="Heading2"/>
    <w:qFormat/>
    <w:pPr>
      <w:numPr>
        <w:ilvl w:val="0"/>
        <w:numId w:val="0"/>
      </w:numP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