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AltHeading1"/>
        <w:spacing w:after="180" w:before="320"/>
      </w:pPr>
      <w:r>
        <w:rPr>
          <w:rFonts w:ascii="Calibri" w:cs="Calibri" w:eastAsia="Calibri" w:hAnsi="Calibri"/>
          <w:b/>
          <w:bCs/>
          <w:color w:val="111111"/>
          <w:sz w:val="30"/>
          <w:szCs w:val="30"/>
        </w:rPr>
        <w:t xml:space="preserve">Appendices</w:t>
      </w:r>
    </w:p>
    <w:p>
      <w:pPr>
        <w:pStyle w:val="AltHeading2"/>
        <w:spacing w:after="180" w:before="320"/>
      </w:pPr>
      <w:r>
        <w:rPr>
          <w:rFonts w:ascii="Calibri" w:cs="Calibri" w:eastAsia="Calibri" w:hAnsi="Calibri"/>
          <w:b/>
          <w:bCs/>
          <w:color w:val="111111"/>
          <w:sz w:val="26"/>
          <w:szCs w:val="26"/>
        </w:rPr>
        <w:t>Appendix C: Methodology specification tables</w:t>
      </w:r>
    </w:p>
    <w:p>
      <w:pPr>
        <w:pStyle w:val="Caption"/>
      </w:pPr>
      <w:r>
        <w:t>Table C.1  Notation: the symbols that appear in more than one section of Chapter 3. Each symbol carries this meaning throughout the chapter; symbols local to a single equation are defined where they appear, and no symbol here is reused for a second quantity.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5626"/>
        <w:gridCol w:w="2000"/>
      </w:tblGrid>
      <w:tr>
        <w:trPr>
          <w:cantSplit/>
          <w:tblHeader/>
        </w:trPr>
        <w:tc>
          <w:tcPr>
            <w:tcW w:type="dxa" w:w="1400"/>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8"/>
                <w:szCs w:val="18"/>
              </w:rPr>
              <w:t xml:space="preserve">Symbol</w:t>
            </w:r>
          </w:p>
        </w:tc>
        <w:tc>
          <w:tcPr>
            <w:tcW w:type="dxa" w:w="5626"/>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8"/>
                <w:szCs w:val="18"/>
              </w:rPr>
              <w:t xml:space="preserve">Meaning</w:t>
            </w:r>
          </w:p>
        </w:tc>
        <w:tc>
          <w:tcPr>
            <w:tcW w:type="dxa" w:w="2000"/>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8"/>
                <w:szCs w:val="18"/>
              </w:rPr>
              <w:t xml:space="preserve">First used</w:t>
            </w:r>
          </w:p>
        </w:tc>
      </w:tr>
      <w:tr>
        <w:trPr>
          <w:cantSplit/>
          <w:tblHeader w:val="false"/>
        </w:trPr>
        <w:tc>
          <w:tcPr>
            <w:tcW w:type="dxa" w:w="14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RVt</w:t>
            </w:r>
          </w:p>
        </w:tc>
        <w:tc>
          <w:tcPr>
            <w:tcW w:type="dxa" w:w="56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Realised variance on day t: the forecast target, and the proxy every loss is scored against</w:t>
            </w:r>
          </w:p>
        </w:tc>
        <w:tc>
          <w:tcPr>
            <w:tcW w:type="dxa" w:w="20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Eq. 3.1</w:t>
            </w:r>
          </w:p>
        </w:tc>
      </w:tr>
      <w:tr>
        <w:trPr>
          <w:cantSplit/>
          <w:tblHeader w:val="false"/>
        </w:trPr>
        <w:tc>
          <w:tcPr>
            <w:tcW w:type="dxa" w:w="14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ĥt</w:t>
            </w:r>
          </w:p>
        </w:tc>
        <w:tc>
          <w:tcPr>
            <w:tcW w:type="dxa" w:w="56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The variance forecast for day t, formed at t−1</w:t>
            </w:r>
          </w:p>
        </w:tc>
        <w:tc>
          <w:tcPr>
            <w:tcW w:type="dxa" w:w="20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Eq. 3.4</w:t>
            </w:r>
          </w:p>
        </w:tc>
      </w:tr>
      <w:tr>
        <w:trPr>
          <w:cantSplit/>
          <w:tblHeader w:val="false"/>
        </w:trPr>
        <w:tc>
          <w:tcPr>
            <w:tcW w:type="dxa" w:w="14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μ̂t</w:t>
            </w:r>
          </w:p>
        </w:tc>
        <w:tc>
          <w:tcPr>
            <w:tcW w:type="dxa" w:w="56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The fitted conditional mean of log RVt, which every network returns; for the stochastic model, the average over its passes</w:t>
            </w:r>
          </w:p>
        </w:tc>
        <w:tc>
          <w:tcPr>
            <w:tcW w:type="dxa" w:w="20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Eq. 3.3</w:t>
            </w:r>
          </w:p>
        </w:tc>
      </w:tr>
      <w:tr>
        <w:trPr>
          <w:cantSplit/>
          <w:tblHeader w:val="false"/>
        </w:trPr>
        <w:tc>
          <w:tcPr>
            <w:tcW w:type="dxa" w:w="14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σ̂2</w:t>
            </w:r>
          </w:p>
        </w:tc>
        <w:tc>
          <w:tcPr>
            <w:tcW w:type="dxa" w:w="56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The variance of the log residuals on a held-out training tail</w:t>
            </w:r>
          </w:p>
        </w:tc>
        <w:tc>
          <w:tcPr>
            <w:tcW w:type="dxa" w:w="20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Eq. 3.4</w:t>
            </w:r>
          </w:p>
        </w:tc>
      </w:tr>
      <w:tr>
        <w:trPr>
          <w:cantSplit/>
          <w:tblHeader w:val="false"/>
        </w:trPr>
        <w:tc>
          <w:tcPr>
            <w:tcW w:type="dxa" w:w="14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σ̂t2</w:t>
            </w:r>
          </w:p>
        </w:tc>
        <w:tc>
          <w:tcPr>
            <w:tcW w:type="dxa" w:w="56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The total predictive variance of log RVt on day t: epistemic plus aleatoric</w:t>
            </w:r>
          </w:p>
        </w:tc>
        <w:tc>
          <w:tcPr>
            <w:tcW w:type="dxa" w:w="20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Eq. 3.5</w:t>
            </w:r>
          </w:p>
        </w:tc>
      </w:tr>
      <w:tr>
        <w:trPr>
          <w:cantSplit/>
          <w:tblHeader w:val="false"/>
        </w:trPr>
        <w:tc>
          <w:tcPr>
            <w:tcW w:type="dxa" w:w="14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zt</w:t>
            </w:r>
          </w:p>
        </w:tc>
        <w:tc>
          <w:tcPr>
            <w:tcW w:type="dxa" w:w="56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The standardised regime feature vector on day t</w:t>
            </w:r>
          </w:p>
        </w:tc>
        <w:tc>
          <w:tcPr>
            <w:tcW w:type="dxa" w:w="20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Eq. 3.2</w:t>
            </w:r>
          </w:p>
        </w:tc>
      </w:tr>
      <w:tr>
        <w:trPr>
          <w:cantSplit/>
          <w:tblHeader w:val="false"/>
        </w:trPr>
        <w:tc>
          <w:tcPr>
            <w:tcW w:type="dxa" w:w="14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xt−L:t−1</w:t>
            </w:r>
          </w:p>
        </w:tc>
        <w:tc>
          <w:tcPr>
            <w:tcW w:type="dxa" w:w="56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The network's input window: L days ending at t−1</w:t>
            </w:r>
          </w:p>
        </w:tc>
        <w:tc>
          <w:tcPr>
            <w:tcW w:type="dxa" w:w="20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Eq. 3.3</w:t>
            </w:r>
          </w:p>
        </w:tc>
      </w:tr>
      <w:tr>
        <w:trPr>
          <w:cantSplit/>
          <w:tblHeader w:val="false"/>
        </w:trPr>
        <w:tc>
          <w:tcPr>
            <w:tcW w:type="dxa" w:w="14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st, K</w:t>
            </w:r>
          </w:p>
        </w:tc>
        <w:tc>
          <w:tcPr>
            <w:tcW w:type="dxa" w:w="56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The latent market state on day t, one of K</w:t>
            </w:r>
          </w:p>
        </w:tc>
        <w:tc>
          <w:tcPr>
            <w:tcW w:type="dxa" w:w="20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Eq. 3.2</w:t>
            </w:r>
          </w:p>
        </w:tc>
      </w:tr>
      <w:tr>
        <w:trPr>
          <w:cantSplit/>
          <w:tblHeader w:val="false"/>
        </w:trPr>
        <w:tc>
          <w:tcPr>
            <w:tcW w:type="dxa" w:w="14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ξt</w:t>
            </w:r>
          </w:p>
        </w:tc>
        <w:tc>
          <w:tcPr>
            <w:tcW w:type="dxa" w:w="56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The filtered state posterior over those K states</w:t>
            </w:r>
          </w:p>
        </w:tc>
        <w:tc>
          <w:tcPr>
            <w:tcW w:type="dxa" w:w="20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Eq. 3.2</w:t>
            </w:r>
          </w:p>
        </w:tc>
      </w:tr>
      <w:tr>
        <w:trPr>
          <w:cantSplit/>
          <w:tblHeader w:val="false"/>
        </w:trPr>
        <w:tc>
          <w:tcPr>
            <w:tcW w:type="dxa" w:w="14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λ</w:t>
            </w:r>
          </w:p>
        </w:tc>
        <w:tc>
          <w:tcPr>
            <w:tcW w:type="dxa" w:w="56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The jump penalty charged whenever the state changes</w:t>
            </w:r>
          </w:p>
        </w:tc>
        <w:tc>
          <w:tcPr>
            <w:tcW w:type="dxa" w:w="20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Eq. 3.2</w:t>
            </w:r>
          </w:p>
        </w:tc>
      </w:tr>
      <w:tr>
        <w:trPr>
          <w:cantSplit/>
          <w:tblHeader w:val="false"/>
        </w:trPr>
        <w:tc>
          <w:tcPr>
            <w:tcW w:type="dxa" w:w="14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ℓt, ut</w:t>
            </w:r>
          </w:p>
        </w:tc>
        <w:tc>
          <w:tcPr>
            <w:tcW w:type="dxa" w:w="56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The lower and upper bounds of a prediction interval</w:t>
            </w:r>
          </w:p>
        </w:tc>
        <w:tc>
          <w:tcPr>
            <w:tcW w:type="dxa" w:w="20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Eq. 3.6</w:t>
            </w:r>
          </w:p>
        </w:tc>
      </w:tr>
    </w:tbl>
    <w:p>
      <w:pPr>
        <w:pStyle w:val="Caption"/>
      </w:pPr>
      <w:r>
        <w:t>Table C.2  The model board: what each model is, what it sees, and what it isolates. Roles are those of Table 3.1, and these names are used unchanged in every subsequent chapter. An ablation exists to attribute an effect rather than to compete; a sensitivity is one forecast read a second way, and is never ranked.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560"/>
        <w:gridCol w:w="2740"/>
        <w:gridCol w:w="3026"/>
      </w:tblGrid>
      <w:tr>
        <w:trPr>
          <w:cantSplit/>
          <w:tblHeader/>
        </w:trPr>
        <w:tc>
          <w:tcPr>
            <w:tcW w:type="dxa" w:w="1700"/>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8"/>
                <w:szCs w:val="18"/>
              </w:rPr>
              <w:t xml:space="preserve">Model</w:t>
            </w:r>
          </w:p>
        </w:tc>
        <w:tc>
          <w:tcPr>
            <w:tcW w:type="dxa" w:w="1560"/>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8"/>
                <w:szCs w:val="18"/>
              </w:rPr>
              <w:t xml:space="preserve">Role</w:t>
            </w:r>
          </w:p>
        </w:tc>
        <w:tc>
          <w:tcPr>
            <w:tcW w:type="dxa" w:w="2740"/>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8"/>
                <w:szCs w:val="18"/>
              </w:rPr>
              <w:t xml:space="preserve">Information set</w:t>
            </w:r>
          </w:p>
        </w:tc>
        <w:tc>
          <w:tcPr>
            <w:tcW w:type="dxa" w:w="3026"/>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8"/>
                <w:szCs w:val="18"/>
              </w:rPr>
              <w:t xml:space="preserve">What it isolates</w:t>
            </w:r>
          </w:p>
        </w:tc>
      </w:tr>
      <w:tr>
        <w:trPr>
          <w:cantSplit/>
          <w:tblHeader w:val="false"/>
        </w:trPr>
        <w:tc>
          <w:tcPr>
            <w:tcW w:type="dxa" w:w="17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GARCH(1,1)</w:t>
            </w:r>
          </w:p>
        </w:tc>
        <w:tc>
          <w:tcPr>
            <w:tcW w:type="dxa" w:w="1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Econometric baseline</w:t>
            </w:r>
          </w:p>
        </w:tc>
        <w:tc>
          <w:tcPr>
            <w:tcW w:type="dxa" w:w="274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Open-to-close returns</w:t>
            </w:r>
          </w:p>
        </w:tc>
        <w:tc>
          <w:tcPr>
            <w:tcW w:type="dxa" w:w="30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See Table 3.3</w:t>
            </w:r>
          </w:p>
        </w:tc>
      </w:tr>
      <w:tr>
        <w:trPr>
          <w:cantSplit/>
          <w:tblHeader w:val="false"/>
        </w:trPr>
        <w:tc>
          <w:tcPr>
            <w:tcW w:type="dxa" w:w="17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EGARCH(1,1,1)</w:t>
            </w:r>
          </w:p>
        </w:tc>
        <w:tc>
          <w:tcPr>
            <w:tcW w:type="dxa" w:w="1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Econometric baseline</w:t>
            </w:r>
          </w:p>
        </w:tc>
        <w:tc>
          <w:tcPr>
            <w:tcW w:type="dxa" w:w="274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Open-to-close returns</w:t>
            </w:r>
          </w:p>
        </w:tc>
        <w:tc>
          <w:tcPr>
            <w:tcW w:type="dxa" w:w="30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See Table 3.3</w:t>
            </w:r>
          </w:p>
        </w:tc>
      </w:tr>
      <w:tr>
        <w:trPr>
          <w:cantSplit/>
          <w:tblHeader w:val="false"/>
        </w:trPr>
        <w:tc>
          <w:tcPr>
            <w:tcW w:type="dxa" w:w="17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HAR-RV</w:t>
            </w:r>
          </w:p>
        </w:tc>
        <w:tc>
          <w:tcPr>
            <w:tcW w:type="dxa" w:w="1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Econometric baseline</w:t>
            </w:r>
          </w:p>
        </w:tc>
        <w:tc>
          <w:tcPr>
            <w:tcW w:type="dxa" w:w="274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RV history, as daily, weekly and monthly aggregates reaching 22 days</w:t>
            </w:r>
          </w:p>
        </w:tc>
        <w:tc>
          <w:tcPr>
            <w:tcW w:type="dxa" w:w="30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See Table 3.3</w:t>
            </w:r>
          </w:p>
        </w:tc>
      </w:tr>
      <w:tr>
        <w:trPr>
          <w:cantSplit/>
          <w:tblHeader w:val="false"/>
        </w:trPr>
        <w:tc>
          <w:tcPr>
            <w:tcW w:type="dxa" w:w="17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RW-RV</w:t>
            </w:r>
          </w:p>
        </w:tc>
        <w:tc>
          <w:tcPr>
            <w:tcW w:type="dxa" w:w="1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Reference floor</w:t>
            </w:r>
          </w:p>
        </w:tc>
        <w:tc>
          <w:tcPr>
            <w:tcW w:type="dxa" w:w="274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The previous day's RV</w:t>
            </w:r>
          </w:p>
        </w:tc>
        <w:tc>
          <w:tcPr>
            <w:tcW w:type="dxa" w:w="30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Persistence alone</w:t>
            </w:r>
          </w:p>
        </w:tc>
      </w:tr>
      <w:tr>
        <w:trPr>
          <w:cantSplit/>
          <w:tblHeader w:val="false"/>
        </w:trPr>
        <w:tc>
          <w:tcPr>
            <w:tcW w:type="dxa" w:w="17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LSTM</w:t>
            </w:r>
          </w:p>
        </w:tc>
        <w:tc>
          <w:tcPr>
            <w:tcW w:type="dxa" w:w="1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Unconditional network</w:t>
            </w:r>
          </w:p>
        </w:tc>
        <w:tc>
          <w:tcPr>
            <w:tcW w:type="dxa" w:w="274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Log RV lags and the open-to-close return, over the lookback window</w:t>
            </w:r>
          </w:p>
        </w:tc>
        <w:tc>
          <w:tcPr>
            <w:tcW w:type="dxa" w:w="30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The control: what the architecture achieves with no regime signal</w:t>
            </w:r>
          </w:p>
        </w:tc>
      </w:tr>
      <w:tr>
        <w:trPr>
          <w:cantSplit/>
          <w:tblHeader w:val="false"/>
        </w:trPr>
        <w:tc>
          <w:tcPr>
            <w:tcW w:type="dxa" w:w="17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LSTM-RVonly</w:t>
            </w:r>
          </w:p>
        </w:tc>
        <w:tc>
          <w:tcPr>
            <w:tcW w:type="dxa" w:w="1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Information-set ablation</w:t>
            </w:r>
          </w:p>
        </w:tc>
        <w:tc>
          <w:tcPr>
            <w:tcW w:type="dxa" w:w="274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Log RV lags alone</w:t>
            </w:r>
          </w:p>
        </w:tc>
        <w:tc>
          <w:tcPr>
            <w:tcW w:type="dxa" w:w="30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Whether the control's edge over HAR-RV is the architecture or the extra return — HAR-RV's information source, differently constructed</w:t>
            </w:r>
          </w:p>
        </w:tc>
      </w:tr>
      <w:tr>
        <w:trPr>
          <w:cantSplit/>
          <w:tblHeader w:val="false"/>
        </w:trPr>
        <w:tc>
          <w:tcPr>
            <w:tcW w:type="dxa" w:w="17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LSTM-VIX</w:t>
            </w:r>
          </w:p>
        </w:tc>
        <w:tc>
          <w:tcPr>
            <w:tcW w:type="dxa" w:w="1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Auxiliary-feature ablation</w:t>
            </w:r>
          </w:p>
        </w:tc>
        <w:tc>
          <w:tcPr>
            <w:tcW w:type="dxa" w:w="274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The control's inputs plus an implied-volatility index, in logs</w:t>
            </w:r>
          </w:p>
        </w:tc>
        <w:tc>
          <w:tcPr>
            <w:tcW w:type="dxa" w:w="30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What option-implied information buys; reported apart from the board, its information set being strictly larger</w:t>
            </w:r>
          </w:p>
        </w:tc>
      </w:tr>
      <w:tr>
        <w:trPr>
          <w:cantSplit/>
          <w:tblHeader w:val="false"/>
        </w:trPr>
        <w:tc>
          <w:tcPr>
            <w:tcW w:type="dxa" w:w="17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Regime-LSTM-A</w:t>
            </w:r>
          </w:p>
        </w:tc>
        <w:tc>
          <w:tcPr>
            <w:tcW w:type="dxa" w:w="1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Regime-conditioned network</w:t>
            </w:r>
          </w:p>
        </w:tc>
        <w:tc>
          <w:tcPr>
            <w:tcW w:type="dxa" w:w="274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The control's inputs plus the lagged state posterior</w:t>
            </w:r>
          </w:p>
        </w:tc>
        <w:tc>
          <w:tcPr>
            <w:tcW w:type="dxa" w:w="30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Whether the regime signal helps when it enters as information, the form fixed</w:t>
            </w:r>
          </w:p>
        </w:tc>
      </w:tr>
      <w:tr>
        <w:trPr>
          <w:cantSplit/>
          <w:tblHeader w:val="false"/>
        </w:trPr>
        <w:tc>
          <w:tcPr>
            <w:tcW w:type="dxa" w:w="17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Regime-LSTM-A-RVonly</w:t>
            </w:r>
          </w:p>
        </w:tc>
        <w:tc>
          <w:tcPr>
            <w:tcW w:type="dxa" w:w="1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Regime-conditioned ablation</w:t>
            </w:r>
          </w:p>
        </w:tc>
        <w:tc>
          <w:tcPr>
            <w:tcW w:type="dxa" w:w="274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Log RV lags plus the lagged posterior</w:t>
            </w:r>
          </w:p>
        </w:tc>
        <w:tc>
          <w:tcPr>
            <w:tcW w:type="dxa" w:w="30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The same question on the leaner set, so a regime effect is not confounded with the return feature</w:t>
            </w:r>
          </w:p>
        </w:tc>
      </w:tr>
      <w:tr>
        <w:trPr>
          <w:cantSplit/>
          <w:tblHeader w:val="false"/>
        </w:trPr>
        <w:tc>
          <w:tcPr>
            <w:tcW w:type="dxa" w:w="17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Regime-LSTM-B</w:t>
            </w:r>
          </w:p>
        </w:tc>
        <w:tc>
          <w:tcPr>
            <w:tcW w:type="dxa" w:w="1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Regime-conditioned network</w:t>
            </w:r>
          </w:p>
        </w:tc>
        <w:tc>
          <w:tcPr>
            <w:tcW w:type="dxa" w:w="274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The control's inputs; the posterior gates the mixture</w:t>
            </w:r>
          </w:p>
        </w:tc>
        <w:tc>
          <w:tcPr>
            <w:tcW w:type="dxa" w:w="30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Whether the regime signal helps when it enters as form rather than information (Equation 3.3)</w:t>
            </w:r>
          </w:p>
        </w:tc>
      </w:tr>
      <w:tr>
        <w:trPr>
          <w:cantSplit/>
          <w:tblHeader w:val="false"/>
        </w:trPr>
        <w:tc>
          <w:tcPr>
            <w:tcW w:type="dxa" w:w="17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MC-Dropout-LSTM</w:t>
            </w:r>
          </w:p>
        </w:tc>
        <w:tc>
          <w:tcPr>
            <w:tcW w:type="dxa" w:w="1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Uncertainty-aware network</w:t>
            </w:r>
          </w:p>
        </w:tc>
        <w:tc>
          <w:tcPr>
            <w:tcW w:type="dxa" w:w="274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The control's inputs</w:t>
            </w:r>
          </w:p>
        </w:tc>
        <w:tc>
          <w:tcPr>
            <w:tcW w:type="dxa" w:w="30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What the stochastic passes add, the point model unchanged (Equation 3.5)</w:t>
            </w:r>
          </w:p>
        </w:tc>
      </w:tr>
      <w:tr>
        <w:trPr>
          <w:cantSplit/>
          <w:tblHeader w:val="false"/>
        </w:trPr>
        <w:tc>
          <w:tcPr>
            <w:tcW w:type="dxa" w:w="17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LSTM-Gaussian</w:t>
            </w:r>
          </w:p>
        </w:tc>
        <w:tc>
          <w:tcPr>
            <w:tcW w:type="dxa" w:w="1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Reference ablation</w:t>
            </w:r>
          </w:p>
        </w:tc>
        <w:tc>
          <w:tcPr>
            <w:tcW w:type="dxa" w:w="274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The control's inputs</w:t>
            </w:r>
          </w:p>
        </w:tc>
        <w:tc>
          <w:tcPr>
            <w:tcW w:type="dxa" w:w="30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The same network's deterministic pass with an aleatoric-only interval: the width the passes are measured against, not a third method</w:t>
            </w:r>
          </w:p>
        </w:tc>
      </w:tr>
      <w:tr>
        <w:trPr>
          <w:cantSplit/>
          <w:tblHeader w:val="false"/>
        </w:trPr>
        <w:tc>
          <w:tcPr>
            <w:tcW w:type="dxa" w:w="17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Quantile-LSTM</w:t>
            </w:r>
          </w:p>
        </w:tc>
        <w:tc>
          <w:tcPr>
            <w:tcW w:type="dxa" w:w="1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Uncertainty-aware network</w:t>
            </w:r>
          </w:p>
        </w:tc>
        <w:tc>
          <w:tcPr>
            <w:tcW w:type="dxa" w:w="274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The control's inputs</w:t>
            </w:r>
          </w:p>
        </w:tc>
        <w:tc>
          <w:tcPr>
            <w:tcW w:type="dxa" w:w="30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A distribution-free interval, so a calibration result does not rest on the dropout approximation</w:t>
            </w:r>
          </w:p>
        </w:tc>
      </w:tr>
      <w:tr>
        <w:trPr>
          <w:cantSplit/>
          <w:tblHeader w:val="false"/>
        </w:trPr>
        <w:tc>
          <w:tcPr>
            <w:tcW w:type="dxa" w:w="17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Quantile-LSTM-mean</w:t>
            </w:r>
          </w:p>
        </w:tc>
        <w:tc>
          <w:tcPr>
            <w:tcW w:type="dxa" w:w="1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Sensitivity</w:t>
            </w:r>
          </w:p>
        </w:tc>
        <w:tc>
          <w:tcPr>
            <w:tcW w:type="dxa" w:w="274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The control's inputs</w:t>
            </w:r>
          </w:p>
        </w:tc>
        <w:tc>
          <w:tcPr>
            <w:tcW w:type="dxa" w:w="30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The same quantile forecast on the mean scale the losses elicit; one forecast under two retransformations, so it is never ranked</w:t>
            </w:r>
          </w:p>
        </w:tc>
      </w:tr>
      <w:tr>
        <w:trPr>
          <w:cantSplit/>
          <w:tblHeader w:val="false"/>
        </w:trPr>
        <w:tc>
          <w:tcPr>
            <w:tcW w:type="dxa" w:w="17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MC-Dropout-Regime-LSTM-B</w:t>
            </w:r>
          </w:p>
        </w:tc>
        <w:tc>
          <w:tcPr>
            <w:tcW w:type="dxa" w:w="1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Combined model</w:t>
            </w:r>
          </w:p>
        </w:tc>
        <w:tc>
          <w:tcPr>
            <w:tcW w:type="dxa" w:w="274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Regime-LSTM-B's inputs</w:t>
            </w:r>
          </w:p>
        </w:tc>
        <w:tc>
          <w:tcPr>
            <w:tcW w:type="dxa" w:w="30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Whether regime conditioning and the uncertainty layer compose (RQ2 × RQ3)</w:t>
            </w:r>
          </w:p>
        </w:tc>
      </w:tr>
    </w:tbl>
    <w:p>
      <w:pPr>
        <w:pStyle w:val="Caption"/>
      </w:pPr>
      <w:r>
        <w:t xml:space="preserve">Table C.3  Hyperparameters: meaning, candidates, selection and expected effect. The first five rows govern the regime estimator of Section 3.3, the rest the networks of Sections 3.4 to 3.6. Selected values are reported in Chapter 4, being outcomes of the procedure. The three swept quantities give eighteen configurations; their ranges bracket what they control — the lookback grid spans HAR-RV's twenty-two-day reach, the width grid the capacity a sample of this size can identify, and the two learning rates the conventional range for this optimiser.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120"/>
        <w:gridCol w:w="1220"/>
        <w:gridCol w:w="3326"/>
      </w:tblGrid>
      <w:tr>
        <w:trPr>
          <w:cantSplit/>
          <w:tblHeader/>
        </w:trPr>
        <w:tc>
          <w:tcPr>
            <w:tcW w:type="dxa" w:w="1560"/>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7"/>
                <w:szCs w:val="17"/>
              </w:rPr>
              <w:t xml:space="preserve">Hyperparameter</w:t>
            </w:r>
          </w:p>
        </w:tc>
        <w:tc>
          <w:tcPr>
            <w:tcW w:type="dxa" w:w="1800"/>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7"/>
                <w:szCs w:val="17"/>
              </w:rPr>
              <w:t xml:space="preserve">What it controls</w:t>
            </w:r>
          </w:p>
        </w:tc>
        <w:tc>
          <w:tcPr>
            <w:tcW w:type="dxa" w:w="1120"/>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7"/>
                <w:szCs w:val="17"/>
              </w:rPr>
              <w:t xml:space="preserve">Candidates</w:t>
            </w:r>
          </w:p>
        </w:tc>
        <w:tc>
          <w:tcPr>
            <w:tcW w:type="dxa" w:w="1220"/>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7"/>
                <w:szCs w:val="17"/>
              </w:rPr>
              <w:t xml:space="preserve">Selection</w:t>
            </w:r>
          </w:p>
        </w:tc>
        <w:tc>
          <w:tcPr>
            <w:tcW w:type="dxa" w:w="3326"/>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7"/>
                <w:szCs w:val="17"/>
              </w:rPr>
              <w:t xml:space="preserve">Expected effect of increasing it</w:t>
            </w:r>
          </w:p>
        </w:tc>
      </w:tr>
      <w:tr>
        <w:trPr>
          <w:cantSplit/>
          <w:tblHeader w:val="false"/>
        </w:trPr>
        <w:tc>
          <w:tcPr>
            <w:tcW w:type="dxa" w:w="1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Jump penalty</w:t>
            </w:r>
          </w:p>
        </w:tc>
        <w:tc>
          <w:tcPr>
            <w:tcW w:type="dxa" w:w="18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The cost charged whenever the state path changes (Equation 3.2)</w:t>
            </w:r>
          </w:p>
        </w:tc>
        <w:tc>
          <w:tcPr>
            <w:tcW w:type="dxa" w:w="112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1, 3, 10, 30, 100, 300</w:t>
            </w:r>
          </w:p>
        </w:tc>
        <w:tc>
          <w:tcPr>
            <w:tcW w:type="dxa" w:w="122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Smallest value clearing the persistence floor, on training rows</w:t>
            </w:r>
          </w:p>
        </w:tc>
        <w:tc>
          <w:tcPr>
            <w:tcW w:type="dxa" w:w="33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Buys persistence at the cost of responsiveness; at zero the objective is atemporal clustering</w:t>
            </w:r>
          </w:p>
        </w:tc>
      </w:tr>
      <w:tr>
        <w:trPr>
          <w:cantSplit/>
          <w:tblHeader w:val="false"/>
        </w:trPr>
        <w:tc>
          <w:tcPr>
            <w:tcW w:type="dxa" w:w="1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Persistence floor</w:t>
            </w:r>
          </w:p>
        </w:tc>
        <w:tc>
          <w:tcPr>
            <w:tcW w:type="dxa" w:w="18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The mean state duration the selected penalty must achieve</w:t>
            </w:r>
          </w:p>
        </w:tc>
        <w:tc>
          <w:tcPr>
            <w:tcW w:type="dxa" w:w="112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Fixed</w:t>
            </w:r>
          </w:p>
        </w:tc>
        <w:tc>
          <w:tcPr>
            <w:tcW w:type="dxa" w:w="122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Set in advance, with the grid and the rule</w:t>
            </w:r>
          </w:p>
        </w:tc>
        <w:tc>
          <w:tcPr>
            <w:tcW w:type="dxa" w:w="33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Forces a smoother path; too long a floor suppresses genuine short-lived regimes</w:t>
            </w:r>
          </w:p>
        </w:tc>
      </w:tr>
      <w:tr>
        <w:trPr>
          <w:cantSplit/>
          <w:tblHeader w:val="false"/>
        </w:trPr>
        <w:tc>
          <w:tcPr>
            <w:tcW w:type="dxa" w:w="1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State count</w:t>
            </w:r>
          </w:p>
        </w:tc>
        <w:tc>
          <w:tcPr>
            <w:tcW w:type="dxa" w:w="18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Number of latent market states</w:t>
            </w:r>
          </w:p>
        </w:tc>
        <w:tc>
          <w:tcPr>
            <w:tcW w:type="dxa" w:w="112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2, 3, 4</w:t>
            </w:r>
          </w:p>
        </w:tc>
        <w:tc>
          <w:tcPr>
            <w:tcW w:type="dxa" w:w="122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Fixed at three; the criterion is a sensitivity, not the selector</w:t>
            </w:r>
          </w:p>
        </w:tc>
        <w:tc>
          <w:tcPr>
            <w:tcW w:type="dxa" w:w="33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Dilutes interpretation and invites overfitting at this sample size; Section 3.3 gives the interpretability grounds for fixing it</w:t>
            </w:r>
          </w:p>
        </w:tc>
      </w:tr>
      <w:tr>
        <w:trPr>
          <w:cantSplit/>
          <w:tblHeader w:val="false"/>
        </w:trPr>
        <w:tc>
          <w:tcPr>
            <w:tcW w:type="dxa" w:w="1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Emission covariance</w:t>
            </w:r>
          </w:p>
        </w:tc>
        <w:tc>
          <w:tcPr>
            <w:tcW w:type="dxa" w:w="18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The shape of each state's Gaussian</w:t>
            </w:r>
          </w:p>
        </w:tc>
        <w:tc>
          <w:tcPr>
            <w:tcW w:type="dxa" w:w="112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Fixed, unrestricted</w:t>
            </w:r>
          </w:p>
        </w:tc>
        <w:tc>
          <w:tcPr>
            <w:tcW w:type="dxa" w:w="122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Not swept</w:t>
            </w:r>
          </w:p>
        </w:tc>
        <w:tc>
          <w:tcPr>
            <w:tcW w:type="dxa" w:w="33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A diagonal form would constrain each state's shape and change the criterion's parameter count</w:t>
            </w:r>
          </w:p>
        </w:tc>
      </w:tr>
      <w:tr>
        <w:trPr>
          <w:cantSplit/>
          <w:tblHeader w:val="false"/>
        </w:trPr>
        <w:tc>
          <w:tcPr>
            <w:tcW w:type="dxa" w:w="1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Estimator restarts</w:t>
            </w:r>
          </w:p>
        </w:tc>
        <w:tc>
          <w:tcPr>
            <w:tcW w:type="dxa" w:w="18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Random initialisations of a non-convex fit</w:t>
            </w:r>
          </w:p>
        </w:tc>
        <w:tc>
          <w:tcPr>
            <w:tcW w:type="dxa" w:w="112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Fixed</w:t>
            </w:r>
          </w:p>
        </w:tc>
        <w:tc>
          <w:tcPr>
            <w:tcW w:type="dxa" w:w="122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Not swept; the best fit is kept</w:t>
            </w:r>
          </w:p>
        </w:tc>
        <w:tc>
          <w:tcPr>
            <w:tcW w:type="dxa" w:w="33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Lowers the chance of a poor local optimum at linear cost; the keep-rule is highest likelihood for the maximum-likelihood fit and lowest objective for the penalised path</w:t>
            </w:r>
          </w:p>
        </w:tc>
      </w:tr>
      <w:tr>
        <w:trPr>
          <w:cantSplit/>
          <w:tblHeader w:val="false"/>
        </w:trPr>
        <w:tc>
          <w:tcPr>
            <w:tcW w:type="dxa" w:w="1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Lookback </w:t>
            </w:r>
            <w:r>
              <w:rPr>
                <w:rFonts w:ascii="Calibri" w:cs="Calibri" w:eastAsia="Calibri" w:hAnsi="Calibri"/>
                <w:b w:val="false"/>
                <w:bCs w:val="false"/>
                <w:i/>
                <w:iCs/>
                <w:color w:val="444444"/>
                <w:sz w:val="17"/>
                <w:szCs w:val="17"/>
              </w:rPr>
              <w:t xml:space="preserve">L</w:t>
            </w:r>
          </w:p>
        </w:tc>
        <w:tc>
          <w:tcPr>
            <w:tcW w:type="dxa" w:w="18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Days per input window</w:t>
            </w:r>
          </w:p>
        </w:tc>
        <w:tc>
          <w:tcPr>
            <w:tcW w:type="dxa" w:w="112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10, 20, 40</w:t>
            </w:r>
          </w:p>
        </w:tc>
        <w:tc>
          <w:tcPr>
            <w:tcW w:type="dxa" w:w="122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Grid, validation QLIKE</w:t>
            </w:r>
          </w:p>
        </w:tc>
        <w:tc>
          <w:tcPr>
            <w:tcW w:type="dxa" w:w="33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Captures slower dynamics but dilutes recent information, which for volatility is the most informative</w:t>
            </w:r>
          </w:p>
        </w:tc>
      </w:tr>
      <w:tr>
        <w:trPr>
          <w:cantSplit/>
          <w:tblHeader w:val="false"/>
        </w:trPr>
        <w:tc>
          <w:tcPr>
            <w:tcW w:type="dxa" w:w="1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Hidden width</w:t>
            </w:r>
          </w:p>
        </w:tc>
        <w:tc>
          <w:tcPr>
            <w:tcW w:type="dxa" w:w="18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Recurrent-state capacity</w:t>
            </w:r>
          </w:p>
        </w:tc>
        <w:tc>
          <w:tcPr>
            <w:tcW w:type="dxa" w:w="112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32, 64, 128</w:t>
            </w:r>
          </w:p>
        </w:tc>
        <w:tc>
          <w:tcPr>
            <w:tcW w:type="dxa" w:w="122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Grid, validation QLIKE</w:t>
            </w:r>
          </w:p>
        </w:tc>
        <w:tc>
          <w:tcPr>
            <w:tcW w:type="dxa" w:w="33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Fits richer non-linearity; overfits sooner, bounded by early stopping</w:t>
            </w:r>
          </w:p>
        </w:tc>
      </w:tr>
      <w:tr>
        <w:trPr>
          <w:cantSplit/>
          <w:tblHeader w:val="false"/>
        </w:trPr>
        <w:tc>
          <w:tcPr>
            <w:tcW w:type="dxa" w:w="1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Learning rate</w:t>
            </w:r>
          </w:p>
        </w:tc>
        <w:tc>
          <w:tcPr>
            <w:tcW w:type="dxa" w:w="18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Optimiser step size</w:t>
            </w:r>
          </w:p>
        </w:tc>
        <w:tc>
          <w:tcPr>
            <w:tcW w:type="dxa" w:w="112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1e-3, 1e-4</w:t>
            </w:r>
          </w:p>
        </w:tc>
        <w:tc>
          <w:tcPr>
            <w:tcW w:type="dxa" w:w="122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Grid, validation QLIKE</w:t>
            </w:r>
          </w:p>
        </w:tc>
        <w:tc>
          <w:tcPr>
            <w:tcW w:type="dxa" w:w="33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Converges faster but may overshoot; smaller needs more epochs</w:t>
            </w:r>
          </w:p>
        </w:tc>
      </w:tr>
      <w:tr>
        <w:trPr>
          <w:cantSplit/>
          <w:tblHeader w:val="false"/>
        </w:trPr>
        <w:tc>
          <w:tcPr>
            <w:tcW w:type="dxa" w:w="1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Recurrent layers</w:t>
            </w:r>
          </w:p>
        </w:tc>
        <w:tc>
          <w:tcPr>
            <w:tcW w:type="dxa" w:w="18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Depth</w:t>
            </w:r>
          </w:p>
        </w:tc>
        <w:tc>
          <w:tcPr>
            <w:tcW w:type="dxa" w:w="112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Fixed at 1</w:t>
            </w:r>
          </w:p>
        </w:tc>
        <w:tc>
          <w:tcPr>
            <w:tcW w:type="dxa" w:w="122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Not swept</w:t>
            </w:r>
          </w:p>
        </w:tc>
        <w:tc>
          <w:tcPr>
            <w:tcW w:type="dxa" w:w="33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Adds capacity the sample cannot identify</w:t>
            </w:r>
          </w:p>
        </w:tc>
      </w:tr>
      <w:tr>
        <w:trPr>
          <w:cantSplit/>
          <w:tblHeader w:val="false"/>
        </w:trPr>
        <w:tc>
          <w:tcPr>
            <w:tcW w:type="dxa" w:w="1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Dropout rate</w:t>
            </w:r>
          </w:p>
        </w:tc>
        <w:tc>
          <w:tcPr>
            <w:tcW w:type="dxa" w:w="18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Regularisation, and the source of the Section 3.5 passes</w:t>
            </w:r>
          </w:p>
        </w:tc>
        <w:tc>
          <w:tcPr>
            <w:tcW w:type="dxa" w:w="112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Fixed</w:t>
            </w:r>
          </w:p>
        </w:tc>
        <w:tc>
          <w:tcPr>
            <w:tcW w:type="dxa" w:w="122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Not swept — deliberately</w:t>
            </w:r>
          </w:p>
        </w:tc>
        <w:tc>
          <w:tcPr>
            <w:tcW w:type="dxa" w:w="33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Regularises harder and widens the interval, so tuning it on point loss would tune interval width too</w:t>
            </w:r>
          </w:p>
        </w:tc>
      </w:tr>
      <w:tr>
        <w:trPr>
          <w:cantSplit/>
          <w:tblHeader w:val="false"/>
        </w:trPr>
        <w:tc>
          <w:tcPr>
            <w:tcW w:type="dxa" w:w="1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Early-stopping patience</w:t>
            </w:r>
          </w:p>
        </w:tc>
        <w:tc>
          <w:tcPr>
            <w:tcW w:type="dxa" w:w="18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Epochs without improvement before halting</w:t>
            </w:r>
          </w:p>
        </w:tc>
        <w:tc>
          <w:tcPr>
            <w:tcW w:type="dxa" w:w="112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Fixed</w:t>
            </w:r>
          </w:p>
        </w:tc>
        <w:tc>
          <w:tcPr>
            <w:tcW w:type="dxa" w:w="122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Not swept</w:t>
            </w:r>
          </w:p>
        </w:tc>
        <w:tc>
          <w:tcPr>
            <w:tcW w:type="dxa" w:w="33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Permits further fitting, raising overfitting risk</w:t>
            </w:r>
          </w:p>
        </w:tc>
      </w:tr>
      <w:tr>
        <w:trPr>
          <w:cantSplit/>
          <w:tblHeader w:val="false"/>
        </w:trPr>
        <w:tc>
          <w:tcPr>
            <w:tcW w:type="dxa" w:w="1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Gradient-clip norm</w:t>
            </w:r>
          </w:p>
        </w:tc>
        <w:tc>
          <w:tcPr>
            <w:tcW w:type="dxa" w:w="18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Per-update gradient ceiling</w:t>
            </w:r>
          </w:p>
        </w:tc>
        <w:tc>
          <w:tcPr>
            <w:tcW w:type="dxa" w:w="112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Fixed</w:t>
            </w:r>
          </w:p>
        </w:tc>
        <w:tc>
          <w:tcPr>
            <w:tcW w:type="dxa" w:w="122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Not swept</w:t>
            </w:r>
          </w:p>
        </w:tc>
        <w:tc>
          <w:tcPr>
            <w:tcW w:type="dxa" w:w="33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Loosens a stability guard</w:t>
            </w:r>
          </w:p>
        </w:tc>
      </w:tr>
      <w:tr>
        <w:trPr>
          <w:cantSplit/>
          <w:tblHeader w:val="false"/>
        </w:trPr>
        <w:tc>
          <w:tcPr>
            <w:tcW w:type="dxa" w:w="1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Weight decay</w:t>
            </w:r>
          </w:p>
        </w:tc>
        <w:tc>
          <w:tcPr>
            <w:tcW w:type="dxa" w:w="18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L2 penalty</w:t>
            </w:r>
          </w:p>
        </w:tc>
        <w:tc>
          <w:tcPr>
            <w:tcW w:type="dxa" w:w="112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Zero</w:t>
            </w:r>
          </w:p>
        </w:tc>
        <w:tc>
          <w:tcPr>
            <w:tcW w:type="dxa" w:w="122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Not swept — deliberately</w:t>
            </w:r>
          </w:p>
        </w:tc>
        <w:tc>
          <w:tcPr>
            <w:tcW w:type="dxa" w:w="33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Would make dropout's and early stopping's contributions unattributable</w:t>
            </w:r>
          </w:p>
        </w:tc>
      </w:tr>
      <w:tr>
        <w:trPr>
          <w:cantSplit/>
          <w:tblHeader w:val="false"/>
        </w:trPr>
        <w:tc>
          <w:tcPr>
            <w:tcW w:type="dxa" w:w="1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Stochastic passes B</w:t>
            </w:r>
          </w:p>
        </w:tc>
        <w:tc>
          <w:tcPr>
            <w:tcW w:type="dxa" w:w="18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Draws forming the predictive moments of Equation 3.5</w:t>
            </w:r>
          </w:p>
        </w:tc>
        <w:tc>
          <w:tcPr>
            <w:tcW w:type="dxa" w:w="112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Fixed</w:t>
            </w:r>
          </w:p>
        </w:tc>
        <w:tc>
          <w:tcPr>
            <w:tcW w:type="dxa" w:w="122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Not swept</w:t>
            </w:r>
          </w:p>
        </w:tc>
        <w:tc>
          <w:tcPr>
            <w:tcW w:type="dxa" w:w="33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Cuts Monte Carlo error as 1/√B; past a few dozen draws that error is far below the miscalibration being measured</w:t>
            </w:r>
          </w:p>
        </w:tc>
      </w:tr>
      <w:tr>
        <w:trPr>
          <w:cantSplit/>
          <w:tblHeader w:val="false"/>
        </w:trPr>
        <w:tc>
          <w:tcPr>
            <w:tcW w:type="dxa" w:w="1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Batch size</w:t>
            </w:r>
          </w:p>
        </w:tc>
        <w:tc>
          <w:tcPr>
            <w:tcW w:type="dxa" w:w="18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Windows per gradient step</w:t>
            </w:r>
          </w:p>
        </w:tc>
        <w:tc>
          <w:tcPr>
            <w:tcW w:type="dxa" w:w="112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Fixed</w:t>
            </w:r>
          </w:p>
        </w:tc>
        <w:tc>
          <w:tcPr>
            <w:tcW w:type="dxa" w:w="122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Not swept</w:t>
            </w:r>
          </w:p>
        </w:tc>
        <w:tc>
          <w:tcPr>
            <w:tcW w:type="dxa" w:w="33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Smooths each update but takes fewer steps per epoch; immaterial at this sample size</w:t>
            </w:r>
          </w:p>
        </w:tc>
      </w:tr>
      <w:tr>
        <w:trPr>
          <w:cantSplit/>
          <w:tblHeader w:val="false"/>
        </w:trPr>
        <w:tc>
          <w:tcPr>
            <w:tcW w:type="dxa" w:w="1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Epoch cap</w:t>
            </w:r>
          </w:p>
        </w:tc>
        <w:tc>
          <w:tcPr>
            <w:tcW w:type="dxa" w:w="18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Maximum passes over the training block</w:t>
            </w:r>
          </w:p>
        </w:tc>
        <w:tc>
          <w:tcPr>
            <w:tcW w:type="dxa" w:w="112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Fixed</w:t>
            </w:r>
          </w:p>
        </w:tc>
        <w:tc>
          <w:tcPr>
            <w:tcW w:type="dxa" w:w="122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Not swept</w:t>
            </w:r>
          </w:p>
        </w:tc>
        <w:tc>
          <w:tcPr>
            <w:tcW w:type="dxa" w:w="33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Raises only the ceiling; early stopping ends training first</w:t>
            </w:r>
          </w:p>
        </w:tc>
      </w:tr>
      <w:tr>
        <w:trPr>
          <w:cantSplit/>
          <w:tblHeader w:val="false"/>
        </w:trPr>
        <w:tc>
          <w:tcPr>
            <w:tcW w:type="dxa" w:w="1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Inner-validation fraction</w:t>
            </w:r>
          </w:p>
        </w:tc>
        <w:tc>
          <w:tcPr>
            <w:tcW w:type="dxa" w:w="18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Time-ordered tail held out for early stopping</w:t>
            </w:r>
          </w:p>
        </w:tc>
        <w:tc>
          <w:tcPr>
            <w:tcW w:type="dxa" w:w="112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Fixed</w:t>
            </w:r>
          </w:p>
        </w:tc>
        <w:tc>
          <w:tcPr>
            <w:tcW w:type="dxa" w:w="122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Not swept</w:t>
            </w:r>
          </w:p>
        </w:tc>
        <w:tc>
          <w:tcPr>
            <w:tcW w:type="dxa" w:w="33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Buys a steadier stopping signal at the cost of training rows</w:t>
            </w:r>
          </w:p>
        </w:tc>
      </w:tr>
    </w:tbl>
    <w:p>
      <w:pPr>
        <w:pStyle w:val="Caption"/>
      </w:pPr>
      <w:r>
        <w:t>Table C.4  Settings of the evaluation procedures. Table 3.4 states what each procedure establishes and cites its source; this table fixes the values at which each was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8"/>
                <w:szCs w:val="18"/>
              </w:rPr>
              <w:t xml:space="preserve">Procedure</w:t>
            </w:r>
          </w:p>
        </w:tc>
        <w:tc>
          <w:tcPr>
            <w:tcW w:type="dxa" w:w="6626"/>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8"/>
                <w:szCs w:val="18"/>
              </w:rPr>
              <w:t xml:space="preserve">Settings as configured</w:t>
            </w:r>
          </w:p>
        </w:tc>
      </w:tr>
      <w:tr>
        <w:trPr>
          <w:cantSplit/>
          <w:tblHeader w:val="false"/>
        </w:trPr>
        <w:tc>
          <w:tcPr>
            <w:tcW w:type="dxa" w:w="24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Loss computation</w:t>
            </w:r>
          </w:p>
        </w:tc>
        <w:tc>
          <w:tcPr>
            <w:tcW w:type="dxa" w:w="66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QLIKE primary, MSE secondary; both arguments floored at 1e-16 before any logarithm or division.</w:t>
            </w:r>
          </w:p>
        </w:tc>
      </w:tr>
      <w:tr>
        <w:trPr>
          <w:cantSplit/>
          <w:tblHeader w:val="false"/>
        </w:trPr>
        <w:tc>
          <w:tcPr>
            <w:tcW w:type="dxa" w:w="24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Diebold–Mariano</w:t>
            </w:r>
          </w:p>
        </w:tc>
        <w:tc>
          <w:tcPr>
            <w:tcW w:type="dxa" w:w="66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Newey–West Bartlett long-run variance, the lag the larger of h − 1 and the integer part of the cube root of n, hence 9 at n = 784; Harvey–Leybourne–Newbold small-sample rescaling; two-sided Student-t on n − 1 degrees of freedom. The lag is swept from 0 to 30 as a sensitivity.</w:t>
            </w:r>
          </w:p>
        </w:tc>
      </w:tr>
      <w:tr>
        <w:trPr>
          <w:cantSplit/>
          <w:tblHeader w:val="false"/>
        </w:trPr>
        <w:tc>
          <w:tcPr>
            <w:tcW w:type="dxa" w:w="24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Giacomini–White</w:t>
            </w:r>
          </w:p>
        </w:tc>
        <w:tc>
          <w:tcPr>
            <w:tcW w:type="dxa" w:w="66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Conditioning set the three t−1 regime indicators, or a constant with the lagged loss differential; horizon 1, so no HAC lag. The long-run covariance is mean-centred, with the uncentred estimator reported beside it.</w:t>
            </w:r>
          </w:p>
        </w:tc>
      </w:tr>
      <w:tr>
        <w:trPr>
          <w:cantSplit/>
          <w:tblHeader w:val="false"/>
        </w:trPr>
        <w:tc>
          <w:tcPr>
            <w:tcW w:type="dxa" w:w="24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Model Confidence Set</w:t>
            </w:r>
          </w:p>
        </w:tc>
        <w:tc>
          <w:tcPr>
            <w:tcW w:type="dxa" w:w="66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α = 0.10; range elimination statistic; stationary bootstrap, 2,000 replications, expected block length 10, seed 17.</w:t>
            </w:r>
          </w:p>
        </w:tc>
      </w:tr>
      <w:tr>
        <w:trPr>
          <w:cantSplit/>
          <w:tblHeader w:val="false"/>
        </w:trPr>
        <w:tc>
          <w:tcPr>
            <w:tcW w:type="dxa" w:w="24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Interval levels</w:t>
            </w:r>
          </w:p>
        </w:tc>
        <w:tc>
          <w:tcPr>
            <w:tcW w:type="dxa" w:w="66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90% headline; 95% additionally for the methods stating a predictive law; endpoints floored at 1e-14 on the variance scale.</w:t>
            </w:r>
          </w:p>
        </w:tc>
      </w:tr>
      <w:tr>
        <w:trPr>
          <w:cantSplit/>
          <w:tblHeader w:val="false"/>
        </w:trPr>
        <w:tc>
          <w:tcPr>
            <w:tcW w:type="dxa" w:w="24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Coverage backtests</w:t>
            </w:r>
          </w:p>
        </w:tc>
        <w:tc>
          <w:tcPr>
            <w:tcW w:type="dxa" w:w="66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Kupiec and Christoffersen likelihood ratios; dynamic quantile on a constant, four lagged hits and, where stated, the t−1 regime indicators.</w:t>
            </w:r>
          </w:p>
        </w:tc>
      </w:tr>
      <w:tr>
        <w:trPr>
          <w:cantSplit/>
          <w:tblHeader w:val="false"/>
        </w:trPr>
        <w:tc>
          <w:tcPr>
            <w:tcW w:type="dxa" w:w="24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Multiplicity</w:t>
            </w:r>
          </w:p>
        </w:tc>
        <w:tc>
          <w:tcPr>
            <w:tcW w:type="dxa" w:w="66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Holm within each family of method, level and tail, the size of the family reported on every row.</w:t>
            </w:r>
          </w:p>
        </w:tc>
      </w:tr>
      <w:tr>
        <w:trPr>
          <w:cantSplit/>
          <w:tblHeader w:val="false"/>
        </w:trPr>
        <w:tc>
          <w:tcPr>
            <w:tcW w:type="dxa" w:w="24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Conditioning timing</w:t>
            </w:r>
          </w:p>
        </w:tc>
        <w:tc>
          <w:tcPr>
            <w:tcW w:type="dxa" w:w="66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Every conditional statistic buckets on the t−1 filtered state, and every regressor entering a conditional test is lagged to that same information set.</w:t>
            </w:r>
          </w:p>
        </w:tc>
      </w:tr>
      <w:tr>
        <w:trPr>
          <w:cantSplit/>
          <w:tblHeader w:val="false"/>
        </w:trPr>
        <w:tc>
          <w:tcPr>
            <w:tcW w:type="dxa" w:w="24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Uncertainty sampling</w:t>
            </w:r>
          </w:p>
        </w:tc>
        <w:tc>
          <w:tcPr>
            <w:tcW w:type="dxa" w:w="66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100 Monte Carlo dropout passes with mask seed 17; the quantile head trained at the 5th, 50th and 95th percentiles.</w:t>
            </w:r>
          </w:p>
        </w:tc>
      </w:tr>
      <w:tr>
        <w:trPr>
          <w:cantSplit/>
          <w:tblHeader w:val="false"/>
        </w:trPr>
        <w:tc>
          <w:tcPr>
            <w:tcW w:type="dxa" w:w="24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Reproducibility</w:t>
            </w:r>
          </w:p>
        </w:tc>
        <w:tc>
          <w:tcPr>
            <w:tcW w:type="dxa" w:w="66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Seed 17 for every stochastic component; each run writes its resolved configuration and library versions beside its outputs.</w:t>
            </w:r>
          </w:p>
        </w:tc>
      </w:tr>
    </w:tbl>
    <w:p>
      <w:pPr>
        <w:pStyle w:val="Caption"/>
      </w:pPr>
      <w:r>
        <w:t>Table C.5  Minimum computational requirements, derived from the architectures of Section 3.4.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26"/>
      </w:tblGrid>
      <w:tr>
        <w:trPr>
          <w:cantSplit/>
          <w:tblHeader/>
        </w:trPr>
        <w:tc>
          <w:tcPr>
            <w:tcW w:type="dxa" w:w="2000"/>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8"/>
                <w:szCs w:val="18"/>
              </w:rPr>
              <w:t xml:space="preserve">Resource</w:t>
            </w:r>
          </w:p>
        </w:tc>
        <w:tc>
          <w:tcPr>
            <w:tcW w:type="dxa" w:w="2200"/>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8"/>
                <w:szCs w:val="18"/>
              </w:rPr>
              <w:t xml:space="preserve">Requirement</w:t>
            </w:r>
          </w:p>
        </w:tc>
        <w:tc>
          <w:tcPr>
            <w:tcW w:type="dxa" w:w="4826"/>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8"/>
                <w:szCs w:val="18"/>
              </w:rPr>
              <w:t xml:space="preserve">Basis</w:t>
            </w:r>
          </w:p>
        </w:tc>
      </w:tr>
      <w:tr>
        <w:trPr>
          <w:cantSplit/>
          <w:tblHeader w:val="false"/>
        </w:trPr>
        <w:tc>
          <w:tcPr>
            <w:tcW w:type="dxa" w:w="20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Trainable parameters</w:t>
            </w:r>
          </w:p>
        </w:tc>
        <w:tc>
          <w:tcPr>
            <w:tcW w:type="dxa" w:w="22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4H(F + H) + 9H + 1 per network, times K for the mixture</w:t>
            </w:r>
          </w:p>
        </w:tc>
        <w:tc>
          <w:tcPr>
            <w:tcW w:type="dxa" w:w="48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H the hidden width, F the input features, K the number of states; Chapter 4 reports the instantiated counts</w:t>
            </w:r>
          </w:p>
        </w:tc>
      </w:tr>
      <w:tr>
        <w:trPr>
          <w:cantSplit/>
          <w:tblHeader w:val="false"/>
        </w:trPr>
        <w:tc>
          <w:tcPr>
            <w:tcW w:type="dxa" w:w="20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Model size</w:t>
            </w:r>
          </w:p>
        </w:tc>
        <w:tc>
          <w:tcPr>
            <w:tcW w:type="dxa" w:w="22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Four bytes per parameter</w:t>
            </w:r>
          </w:p>
        </w:tc>
        <w:tc>
          <w:tcPr>
            <w:tcW w:type="dxa" w:w="48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Single precision; under a megabyte at any width in the Appendix C.3 grid</w:t>
            </w:r>
          </w:p>
        </w:tc>
      </w:tr>
      <w:tr>
        <w:trPr>
          <w:cantSplit/>
          <w:tblHeader w:val="false"/>
        </w:trPr>
        <w:tc>
          <w:tcPr>
            <w:tcW w:type="dxa" w:w="20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Training data in memory</w:t>
            </w:r>
          </w:p>
        </w:tc>
        <w:tc>
          <w:tcPr>
            <w:tcW w:type="dxa" w:w="22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Under a megabyte</w:t>
            </w:r>
          </w:p>
        </w:tc>
        <w:tc>
          <w:tcPr>
            <w:tcW w:type="dxa" w:w="48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A daily series of a few thousand rows and a handful of columns</w:t>
            </w:r>
          </w:p>
        </w:tc>
      </w:tr>
      <w:tr>
        <w:trPr>
          <w:cantSplit/>
          <w:tblHeader w:val="false"/>
        </w:trPr>
        <w:tc>
          <w:tcPr>
            <w:tcW w:type="dxa" w:w="20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Working memory</w:t>
            </w:r>
          </w:p>
        </w:tc>
        <w:tc>
          <w:tcPr>
            <w:tcW w:type="dxa" w:w="22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Under 512 MB</w:t>
            </w:r>
          </w:p>
        </w:tc>
        <w:tc>
          <w:tcPr>
            <w:tcW w:type="dxa" w:w="48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The deep-learning framework's own footprint dominates; parameters and data together are under two megabytes. Chapter 4 reports the measured peak</w:t>
            </w:r>
          </w:p>
        </w:tc>
      </w:tr>
      <w:tr>
        <w:trPr>
          <w:cantSplit/>
          <w:tblHeader w:val="false"/>
        </w:trPr>
        <w:tc>
          <w:tcPr>
            <w:tcW w:type="dxa" w:w="20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Accelerator</w:t>
            </w:r>
          </w:p>
        </w:tc>
        <w:tc>
          <w:tcPr>
            <w:tcW w:type="dxa" w:w="22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None</w:t>
            </w:r>
          </w:p>
        </w:tc>
        <w:tc>
          <w:tcPr>
            <w:tcW w:type="dxa" w:w="48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CPU throughout</w:t>
            </w:r>
          </w:p>
        </w:tc>
      </w:tr>
      <w:tr>
        <w:trPr>
          <w:cantSplit/>
          <w:tblHeader w:val="false"/>
        </w:trPr>
        <w:tc>
          <w:tcPr>
            <w:tcW w:type="dxa" w:w="20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End-to-end runtime</w:t>
            </w:r>
          </w:p>
        </w:tc>
        <w:tc>
          <w:tcPr>
            <w:tcW w:type="dxa" w:w="22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Minutes rather than hours on the configuration above</w:t>
            </w:r>
          </w:p>
        </w:tc>
        <w:tc>
          <w:tcPr>
            <w:tcW w:type="dxa" w:w="48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Chapter 4 reports the measured wall-clock, hyperparameter search included</w:t>
            </w:r>
          </w:p>
        </w:tc>
      </w:tr>
      <w:tr>
        <w:trPr>
          <w:cantSplit/>
          <w:tblHeader w:val="false"/>
        </w:trPr>
        <w:tc>
          <w:tcPr>
            <w:tcW w:type="dxa" w:w="20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Inference</w:t>
            </w:r>
          </w:p>
        </w:tc>
        <w:tc>
          <w:tcPr>
            <w:tcW w:type="dxa" w:w="22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One forward pass per day</w:t>
            </w:r>
          </w:p>
        </w:tc>
        <w:tc>
          <w:tcPr>
            <w:tcW w:type="dxa" w:w="48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The binding cost is input data, not computation</w:t>
            </w:r>
          </w:p>
        </w:tc>
      </w:tr>
      <w:tr>
        <w:trPr>
          <w:cantSplit/>
          <w:tblHeader w:val="false"/>
        </w:trPr>
        <w:tc>
          <w:tcPr>
            <w:tcW w:type="dxa" w:w="20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Software</w:t>
            </w:r>
          </w:p>
        </w:tc>
        <w:tc>
          <w:tcPr>
            <w:tcW w:type="dxa" w:w="22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Python 3.12 with the pinned dependency set; no accelerator libraries</w:t>
            </w:r>
          </w:p>
        </w:tc>
        <w:tc>
          <w:tcPr>
            <w:tcW w:type="dxa" w:w="48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The interpreter version is part of the specification (Section 3.8)</w:t>
            </w:r>
          </w:p>
        </w:tc>
      </w:tr>
      <w:tr>
        <w:trPr>
          <w:cantSplit/>
          <w:tblHeader w:val="false"/>
        </w:trPr>
        <w:tc>
          <w:tcPr>
            <w:tcW w:type="dxa" w:w="20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Network access</w:t>
            </w:r>
          </w:p>
        </w:tc>
        <w:tc>
          <w:tcPr>
            <w:tcW w:type="dxa" w:w="22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Once, to acquire and cache the inputs; none thereafter</w:t>
            </w:r>
          </w:p>
        </w:tc>
        <w:tc>
          <w:tcPr>
            <w:tcW w:type="dxa" w:w="48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A discontinued realised-measure library must be archived, not fetched on demand</w:t>
            </w:r>
          </w:p>
        </w:tc>
      </w:tr>
      <w:tr>
        <w:trPr>
          <w:cantSplit/>
          <w:tblHeader w:val="false"/>
        </w:trPr>
        <w:tc>
          <w:tcPr>
            <w:tcW w:type="dxa" w:w="20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Storage</w:t>
            </w:r>
          </w:p>
        </w:tc>
        <w:tc>
          <w:tcPr>
            <w:tcW w:type="dxa" w:w="22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Under 100 MB for the cached inputs and every published artefact</w:t>
            </w:r>
          </w:p>
        </w:tc>
        <w:tc>
          <w:tcPr>
            <w:tcW w:type="dxa" w:w="48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Dominated by the raw realised-measure file, not by model outputs</w:t>
            </w:r>
          </w:p>
        </w:tc>
      </w:tr>
      <w:tr>
        <w:trPr>
          <w:cantSplit/>
          <w:tblHeader w:val="false"/>
        </w:trPr>
        <w:tc>
          <w:tcPr>
            <w:tcW w:type="dxa" w:w="20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Availability</w:t>
            </w:r>
          </w:p>
        </w:tc>
        <w:tc>
          <w:tcPr>
            <w:tcW w:type="dxa" w:w="22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A public repository</w:t>
            </w:r>
          </w:p>
        </w:tc>
        <w:tc>
          <w:tcPr>
            <w:tcW w:type="dxa" w:w="48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github.com/BOBMSH/Regime-Aware-Deep-Learning-for-Volatility-Forecasting-with-Uncertainty-Quantification — implementation, configurations, pinned dependencies and one script that regenerates every artefact in dependency order; Chapter 4 names the commit the reported values were produced from</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aption">
    <w:name w:val="caption"/>
    <w:uiPriority w:val="35"/>
    <w:unhideWhenUsed/>
    <w:qFormat/>
    <w:pPr>
      <w:spacing w:after="200" w:line="240" w:lineRule="auto"/>
    </w:pPr>
    <w:rPr>
      <w:i/>
      <w:iCs/>
      <w:color w:val="44546A"/>
      <w:sz w:val="18"/>
      <w:szCs w:val="18"/>
    </w:rPr>
  </w:style>
  <w:style w:type="paragraph" w:customStyle="1" w:styleId="AltHeading1">
    <w:name w:val="Alt Heading 1"/>
    <w:basedOn w:val="Heading1"/>
    <w:qFormat/>
    <w:pPr>
      <w:numPr>
        <w:numId w:val="0"/>
      </w:numPr>
    </w:pPr>
  </w:style>
  <w:style w:type="paragraph" w:customStyle="1" w:styleId="AltHeading2">
    <w:name w:val="Alt Heading 2"/>
    <w:basedOn w:val="Heading2"/>
    <w:qFormat/>
    <w:pPr>
      <w:numPr>
        <w:ilvl w:val="0"/>
        <w:numId w:val="0"/>
      </w:numP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c021c43aaddbbffb2eec793cfdff615a93a8dc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 Methodology</dc:title>
  <dc:creator>MSc Dissertation</dc:creator>
  <cp:lastModifiedBy>Un-named</cp:lastModifiedBy>
  <cp:revision>1</cp:revision>
  <dcterms:created xsi:type="dcterms:W3CDTF">2026-08-31T21:15:36.745Z</dcterms:created>
  <dcterms:modified xsi:type="dcterms:W3CDTF">2026-08-31T21:15:36.745Z</dcterms:modified>
</cp:coreProperties>
</file>

<file path=docProps/custom.xml><?xml version="1.0" encoding="utf-8"?>
<Properties xmlns="http://schemas.openxmlformats.org/officeDocument/2006/custom-properties" xmlns:vt="http://schemas.openxmlformats.org/officeDocument/2006/docPropsVTypes"/>
</file>