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A8D4" w14:textId="77777777" w:rsidR="008A3CB1" w:rsidRDefault="008A3CB1" w:rsidP="008A3CB1">
      <w:pPr>
        <w:pStyle w:val="Heading1"/>
        <w:spacing w:line="360" w:lineRule="auto"/>
      </w:pPr>
      <w:bookmarkStart w:id="0" w:name="chapter-2-literature-review"/>
      <w:r>
        <w:t>Literature Review</w:t>
      </w:r>
      <w:bookmarkEnd w:id="0"/>
    </w:p>
    <w:p w14:paraId="2D09C607" w14:textId="77777777" w:rsidR="008A3CB1" w:rsidRDefault="008A3CB1" w:rsidP="008A3CB1">
      <w:pPr>
        <w:pStyle w:val="Heading2"/>
        <w:spacing w:line="360" w:lineRule="auto"/>
      </w:pPr>
      <w:bookmarkStart w:id="1" w:name="overview"/>
      <w:r>
        <w:t>2.1 Overview</w:t>
      </w:r>
      <w:bookmarkEnd w:id="1"/>
    </w:p>
    <w:p w14:paraId="6AFEBB81" w14:textId="77777777" w:rsidR="008A3CB1" w:rsidRDefault="008A3CB1" w:rsidP="008A3CB1">
      <w:pPr>
        <w:spacing w:line="360" w:lineRule="auto"/>
      </w:pPr>
      <w:r>
        <w:t xml:space="preserve">The volatility-forecasting literature has accumulated for four decades along four substantially independent tracks. The </w:t>
      </w:r>
      <w:r>
        <w:rPr>
          <w:b/>
        </w:rPr>
        <w:t>parametric econometric</w:t>
      </w:r>
      <w:r>
        <w:t xml:space="preserve"> tradition, from Engle's (1982) ARCH to the GARCH family, supplies the parsimonious baselines any new proposal must beat. The </w:t>
      </w:r>
      <w:r>
        <w:rPr>
          <w:b/>
        </w:rPr>
        <w:t>regime-switching</w:t>
      </w:r>
      <w:r>
        <w:t xml:space="preserve"> tradition treats markets as transitioning between qualitatively distinct latent states and supplies the machinery for extracting them from returns. 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converts point forecasts into calibrated predictive distributions. Underpinning all four, Andersen et al. (2003) define the dependent variable, Patton (2011) the proxy-robust losses, and Diebold and Mariano (1995) with Giacomini and White (2006) the apparatus for pairwise comparison.</w:t>
      </w:r>
    </w:p>
    <w:p w14:paraId="56825445" w14:textId="77777777" w:rsidR="008A3CB1" w:rsidRDefault="008A3CB1" w:rsidP="008A3CB1">
      <w:pPr>
        <w:spacing w:line="360" w:lineRule="auto"/>
      </w:pPr>
      <w:r>
        <w:t>Two broader paradigms are acknowledged rather than surveyed: option-implied volatility, as the VIX and its model-free successors extract it from traded option prices, and ultra-high-frequency modelling of the tick-by-tick price process under microstructure noise. Each targets a different measurement object, and both are scoped out to keep the pipeline on daily realised volatility built from intraday returns. Each paper below is included because it supports a specific design decision in Chapter 3 — establishing a phenomenon the model must reproduce, defining a benchmark, supplying technical apparatus, or marking a competing approach the design weighs and sets aside. The chapter proceeds by workstream.</w:t>
      </w:r>
    </w:p>
    <w:p w14:paraId="3308A5FB" w14:textId="77777777" w:rsidR="008A3CB1" w:rsidRDefault="008A3CB1" w:rsidP="008A3CB1">
      <w:pPr>
        <w:pStyle w:val="Heading2"/>
        <w:spacing w:line="360" w:lineRule="auto"/>
      </w:pPr>
      <w:bookmarkStart w:id="2" w:name="Xdb0b12761a3df46991c3459d4f44373dbcd670f"/>
      <w:r>
        <w:t>2.2 Empirical Foundations of Conditional Volatility</w:t>
      </w:r>
      <w:bookmarkEnd w:id="2"/>
    </w:p>
    <w:p w14:paraId="6DD46732" w14:textId="77777777" w:rsidR="008A3CB1" w:rsidRDefault="008A3CB1" w:rsidP="008A3CB1">
      <w:pPr>
        <w:spacing w:line="360" w:lineRule="auto"/>
      </w:pPr>
      <w:r>
        <w:t>Any credible model of asset-return volatility must reproduce a small set of stylised facts: returns approximately uncorrelated despite strong serial dependence in their absolute and squared values, a leptokurtic unconditional distribution, volatility clustering, and negative shocks raising future variance more than positive shocks of equal magnitude (Cont, 2001). They serve two purposes here: they define the empirical contract against which the GARCH baselines and the deep models of Section 2.5 are judged, and they justify regime-aware estimation, since the magnitude and persistence of these features differ qualitatively across market environments and resist a single specification calibrated to the full sample.</w:t>
      </w:r>
    </w:p>
    <w:p w14:paraId="5FDA1ADC" w14:textId="77777777" w:rsidR="008A3CB1" w:rsidRDefault="008A3CB1" w:rsidP="008A3CB1">
      <w:pPr>
        <w:spacing w:line="360" w:lineRule="auto"/>
      </w:pPr>
      <w:r>
        <w:t>Bollerslev's (1986) Generalised Autoregressive Conditional Heteroskedasticity model extends Engle's (1982) ARCH by expressing conditional variance as a linear function of past squared residuals and past conditional variances; GARCH(1,1) reduces this to a short-run shock response, a longer-run persistence component and a closed-form unconditional variance. Its limitations are well documented: Gaussian innovations understate tail risk, the symmetric variance equation cannot accommodate the leverage effect, and one parameter vector is assumed stable across regimes. The stochastic-volatility alternative (Taylor, 1986) is set aside because its likelihood demands simulation-based filtering (Kim, Shephard and Chib, 1998), whereas the observation-driven GARCH variance is estimated directly. It is the primary econometric baseline not for sophistication but as the standard any alternative must beat.</w:t>
      </w:r>
    </w:p>
    <w:p w14:paraId="79B4CE6D" w14:textId="77777777" w:rsidR="008A3CB1" w:rsidRDefault="008A3CB1" w:rsidP="008A3CB1">
      <w:pPr>
        <w:spacing w:line="360" w:lineRule="auto"/>
      </w:pPr>
      <w:r>
        <w:t>The leverage effect drew two competing responses. Nelson's (1991) Exponential GARCH models the logarithm of conditional variance, so positivity holds without parameter restrictions and innovations enter through both sign and magnitude; the GJR-GARCH of Glosten, Jagannathan and Runkle (1993) reaches the same target in levels through a single threshold term that activates only for negative shocks — more parsimonious, but discontinuous. The two encode an identical stylised fact through contrasting mechanisms, and the literature has never decisively separated them. EGARCH is the second econometric baseline because it isolates one dimension along which GARCH(1,1) is demonstrably deficient: comparing the regime-aware deep model against both tests whether an improvement reflects genuine non-linear learning of regime-dependent dynamics, or merely an asymmetry a parametric model already captures within a single regime.</w:t>
      </w:r>
    </w:p>
    <w:p w14:paraId="703064A6" w14:textId="77777777" w:rsidR="008A3CB1" w:rsidRDefault="008A3CB1" w:rsidP="008A3CB1">
      <w:pPr>
        <w:spacing w:line="360" w:lineRule="auto"/>
      </w:pPr>
      <w:r>
        <w:t>The bar remains high: Hansen and Lunde's (2005) comparison of 330 GARCH-family specifications found none improving significantly on plain GARCH(1,1) under proxy-robust losses for exchange-rate volatility, though the equity result was more nuanced and asymmetric specifications such as EGARCH and GJR-GARCH were sometimes preferred. An alternative must therefore deliver out-of-sample gains that survive proxy-robust scrutiny, not merely fit better in-sample. One caveat tempers that benchmark: it is two decades old and was conducted largely on daily-return proxies rather than the high-frequency realised targets used here, so whether the GARCH(1,1) floor still binds is treated as testable rather than settled — a further reason to retain both as live baselines, and a motivation for the testing of Section 2.7.</w:t>
      </w:r>
    </w:p>
    <w:p w14:paraId="7FF8935F" w14:textId="77777777" w:rsidR="008A3CB1" w:rsidRDefault="008A3CB1" w:rsidP="008A3CB1">
      <w:pPr>
        <w:spacing w:line="360" w:lineRule="auto"/>
      </w:pPr>
    </w:p>
    <w:p w14:paraId="7E3A99E5" w14:textId="77777777" w:rsidR="008A3CB1" w:rsidRDefault="008A3CB1" w:rsidP="008A3CB1">
      <w:pPr>
        <w:pStyle w:val="Heading2"/>
        <w:spacing w:line="360" w:lineRule="auto"/>
      </w:pPr>
      <w:bookmarkStart w:id="3" w:name="X6a674fe5361fec0b03881d7accfdc05a4ff0d1d"/>
      <w:r>
        <w:t>2.3 Realised Volatility and Proxy-Robust Evaluation</w:t>
      </w:r>
      <w:bookmarkEnd w:id="3"/>
    </w:p>
    <w:p w14:paraId="292EE619" w14:textId="77777777" w:rsidR="008A3CB1" w:rsidRDefault="008A3CB1" w:rsidP="008A3CB1">
      <w:pPr>
        <w:spacing w:line="360" w:lineRule="auto"/>
      </w:pPr>
      <w:r>
        <w:t>The most consequential shift of the past two decades was the recognition that with high-frequency data volatility ceases to be a latent quantity inferred under parametric assumptions and becomes approximately observable. Andersen, Bollerslev, Diebold and Labys (2003) showed that the sum of squared intraday returns over a daily window — the realised variance — converges to the integrated variance of the underlying diffusion, a nearly model-free estimator of the latent target.</w:t>
      </w:r>
    </w:p>
    <w:p w14:paraId="073E02F6" w14:textId="77777777" w:rsidR="008A3CB1" w:rsidRDefault="008A3CB1" w:rsidP="008A3CB1">
      <w:pPr>
        <w:spacing w:line="360" w:lineRule="auto"/>
      </w:pPr>
      <w:r>
        <w:t>That observability is only approximate: at high frequencies microstructure noise biases the naive estimator, motivating sparse five-minute sampling, the two-scales estimator (Zhang, Mykland and Aït-Sahalia, 2005) and realised kernels (Barndorff-Nielsen et al., 2008). With realised volatility as the dependent variable the target is a smoother, less leptokurtic series that is materially easier to forecast (Corsi, 2009).</w:t>
      </w:r>
    </w:p>
    <w:p w14:paraId="71043B7B" w14:textId="77777777" w:rsidR="008A3CB1" w:rsidRDefault="008A3CB1" w:rsidP="008A3CB1">
      <w:pPr>
        <w:spacing w:line="360" w:lineRule="auto"/>
      </w:pPr>
      <w:r>
        <w:t>It is on this observable target rather than on return-based proxies that neural architectures have most consistently outperformed parametric alternatives (Bucci, 2020; Christensen, Siggaard and Veliyev, 2023). The dissertation adopts it throughout, in the Andersen et al. (2003) sense and from the Oxford-Man Realized Library (Heber et al., 2009).</w:t>
      </w:r>
    </w:p>
    <w:p w14:paraId="4A6ACCA7" w14:textId="77777777" w:rsidR="008A3CB1" w:rsidRDefault="008A3CB1" w:rsidP="008A3CB1">
      <w:pPr>
        <w:spacing w:line="360" w:lineRule="auto"/>
      </w:pPr>
      <w:r>
        <w:t>Once realised volatility is the target, the loss function acquires direct inferential consequence. Patton (2011) establishes that when conditional variance is replaced by a noisy proxy, only a restricted family of losses yields rankings robust to that noise: mean squared error remains valid and QLIKE has particularly attractive properties, while losses outside the family can reverse the ordering of two models. QLIKE also penalises under-prediction more heavily than over-prediction, aligning the objective with the asymmetric cost of underestimating risk; it is adopted as the primary out-of-sample metric, with mean squared error as a robustness check.</w:t>
      </w:r>
    </w:p>
    <w:p w14:paraId="11AA1820" w14:textId="77777777" w:rsidR="008A3CB1" w:rsidRDefault="008A3CB1" w:rsidP="008A3CB1">
      <w:pPr>
        <w:spacing w:line="360" w:lineRule="auto"/>
      </w:pPr>
      <w:r>
        <w:t>A second development of equal practical importance is Corsi's (2009) heterogeneous autoregressive model of realised volatility, which decomposes the conditional expectation of daily realised variance into linear contributions from daily, weekly and monthly lagged components, capturing persistence parsimoniously and routinely matching or exceeding fractionally integrated alternatives on equity indices. Its extensions — HARQ, which corrects for measurement error (Bollerslev, Patton and Quaedvlieg, 2016), and the joint return-and-RV Realized GARCH (Hansen, Huang and Shek, 2012) — refine but do not displace it. HAR-RV is the de facto benchmark on realised-volatility targets and is the third econometric baseline: a deep forecaster that fails to beat it on its native target is not a credible alternative.</w:t>
      </w:r>
    </w:p>
    <w:p w14:paraId="65849B5B" w14:textId="77777777" w:rsidR="008A3CB1" w:rsidRDefault="008A3CB1" w:rsidP="008A3CB1">
      <w:pPr>
        <w:pStyle w:val="Heading2"/>
        <w:spacing w:line="360" w:lineRule="auto"/>
      </w:pPr>
      <w:bookmarkStart w:id="4" w:name="regime-switching-dynamics"/>
      <w:r>
        <w:t>2.4 Regime-Switching Dynamics</w:t>
      </w:r>
      <w:bookmarkEnd w:id="4"/>
    </w:p>
    <w:p w14:paraId="2B48CF0C" w14:textId="77777777" w:rsidR="008A3CB1" w:rsidRDefault="008A3CB1" w:rsidP="008A3CB1">
      <w:pPr>
        <w:spacing w:line="360" w:lineRule="auto"/>
      </w:pPr>
      <w:r>
        <w:t>The proposition that markets transition between qualitatively distinct regimes predates the deep-learning literature by half a century, and its formal foundation is the Markov-switching model of Hamilton (1989). Treating a non-stationary series as a mixture of stationary processes governed by an unobservable discrete state evolving as a first-order Markov chain, it captures abrupt changes that single-regime specifications cannot, and admits efficient maximum-likelihood estimation through the filter that bears his name.</w:t>
      </w:r>
    </w:p>
    <w:p w14:paraId="233BC2CC" w14:textId="77777777" w:rsidR="008A3CB1" w:rsidRDefault="008A3CB1" w:rsidP="008A3CB1">
      <w:pPr>
        <w:spacing w:line="360" w:lineRule="auto"/>
      </w:pPr>
      <w:r>
        <w:t xml:space="preserve">Smoothed state probabilities give interpretable retrospective inference, but forecasting must rely on filtered probabilities, which estimate the active regime from information available up to each date and so avoid look-ahead bias. Within that framework, the dissertation adopts a </w:t>
      </w:r>
      <w:r>
        <w:rPr>
          <w:b/>
        </w:rPr>
        <w:t>Gaussian-emission hidden Markov model</w:t>
      </w:r>
      <w:r>
        <w:t xml:space="preserve"> rather than a Markov-switching autoregression, each regime parameterised as a Gaussian over standardised daily log returns. The choice keeps the regime model simple, leaving the non-linear within-regime structure to the LSTM of Section 2.5 and avoiding the identification difficulties of estimating switching and within-regime dynamics jointly. Whether regime-switching improves out-of-sample forecasts is contested — Dacco and Satchell (1999) found such models forecasting poorly despite strong in-sample fit, though regimes add value in asset allocation (Ang and Bekaert, 2002) — so the dissertation tests it rather than assuming it.</w:t>
      </w:r>
    </w:p>
    <w:p w14:paraId="6EFC0F9B" w14:textId="77777777" w:rsidR="008A3CB1" w:rsidRDefault="008A3CB1" w:rsidP="008A3CB1">
      <w:pPr>
        <w:spacing w:line="360" w:lineRule="auto"/>
      </w:pPr>
      <w:r>
        <w:t>Regime identification is itself an inferential problem. Nystrup, Lindström and Madsen (2020) isolate its most persistent pathology: standard maximum-likelihood estimation switches states more rapidly than the data warrant, contaminating any forecast conditioned on them. Their remedy penalises transitions in the log-likelihood, yielding more persistent states and better out-of-sample classification on equity data.</w:t>
      </w:r>
    </w:p>
    <w:p w14:paraId="56EFA4F8" w14:textId="77777777" w:rsidR="008A3CB1" w:rsidRDefault="008A3CB1" w:rsidP="008A3CB1">
      <w:pPr>
        <w:spacing w:line="360" w:lineRule="auto"/>
      </w:pPr>
      <w:r>
        <w:t xml:space="preserve">A model conditioned on a misclassified regime inherits that error rather than correcting it, so apparent gains from conditioning can mask noise in the regime estimate. </w:t>
      </w:r>
      <w:r>
        <w:rPr>
          <w:b/>
        </w:rPr>
        <w:t>The dissertation operationalises the Nystrup et al. (2020) jump penalty in the two-stage form those authors describe</w:t>
      </w:r>
      <w:r>
        <w:t>, so the filtered posterior inherits a persistent state path rather than maximum likelihood's excessive switching. The penalty's strength governs a bias-variance trade-off between over-smoothed and over-switching state sequences, and is tuned rather than set a priori.</w:t>
      </w:r>
    </w:p>
    <w:p w14:paraId="42989B14" w14:textId="77777777" w:rsidR="008A3CB1" w:rsidRDefault="008A3CB1" w:rsidP="008A3CB1">
      <w:pPr>
        <w:spacing w:line="360" w:lineRule="auto"/>
      </w:pPr>
      <w:r>
        <w:t>The number of regimes is kept small and interpretable — broadly calm, transitional and crisis — because a richer state space dilutes interpretability and invites overfitting on the modest samples of daily financial data (Guidolin, 2011).</w:t>
      </w:r>
    </w:p>
    <w:p w14:paraId="73823810" w14:textId="77777777" w:rsidR="008A3CB1" w:rsidRDefault="008A3CB1" w:rsidP="008A3CB1">
      <w:pPr>
        <w:spacing w:line="360" w:lineRule="auto"/>
      </w:pPr>
      <w:r>
        <w:t xml:space="preserve">The tradition remains active on this dissertation's own target: in a preprint, Blake, Gandhi and Jakkula (2025) apply soft Markov-switching and clustering-based regimes to daily S&amp;P 500 realised volatility and report material gains over an autoregressive baseline, but use neither a deep sequence model nor uncertainty quantification — the two layers Sections 2.5 and 2.6 add.</w:t>
      </w:r>
    </w:p>
    <w:p w14:paraId="65ADA9EF" w14:textId="77777777" w:rsidR="008A3CB1" w:rsidRDefault="008A3CB1" w:rsidP="008A3CB1">
      <w:pPr>
        <w:pStyle w:val="Heading2"/>
        <w:spacing w:line="360" w:lineRule="auto"/>
      </w:pPr>
      <w:bookmarkStart w:id="5" w:name="deep-learning-for-financial-time-series"/>
      <w:r>
        <w:lastRenderedPageBreak/>
        <w:t>2.5 Deep Learning for Financial Time Series</w:t>
      </w:r>
      <w:bookmarkEnd w:id="5"/>
    </w:p>
    <w:p w14:paraId="525D13DC" w14:textId="77777777" w:rsidR="008A3CB1" w:rsidRDefault="008A3CB1" w:rsidP="008A3CB1">
      <w:pPr>
        <w:spacing w:line="360" w:lineRule="auto"/>
      </w:pPr>
      <w:r>
        <w:t>The architectural backbone is the long short-term memory cell of Hochreiter and Schmidhuber (1997), still the workhorse for sequences with moderate context length and limited data — both of which describe daily financial series. Its gated constant-error carousel overcame the vanishing-gradient pathology that had made recurrent networks impractical for long-range dependencies, and its inductive bias — that the present is best predicted from a selectively retained summary of the recent past — aligns with the persistence structure of volatility (Cont, 2001).</w:t>
      </w:r>
    </w:p>
    <w:p w14:paraId="57CFB730" w14:textId="77777777" w:rsidR="008A3CB1" w:rsidRDefault="008A3CB1" w:rsidP="008A3CB1">
      <w:pPr>
        <w:spacing w:line="360" w:lineRule="auto"/>
      </w:pPr>
      <w:r>
        <w:t>It is retained over attention-based models — the Transformer (Vaswani et al., 2017) and the Temporal Fusion Transformer (Lim et al., 2021) — on evidential rather than conservative grounds. Attention is data-hungry relative to the modest effective sample sizes of daily financial data, precisely the regime in which Lim and Zohren (2021) argue a strong temporal inductive bias is most valuable, and recent benchmarks find simple recurrent and linear models matching elaborate transformers (Zeng et al., 2023).</w:t>
      </w:r>
    </w:p>
    <w:p w14:paraId="56B3853A" w14:textId="77777777" w:rsidR="008A3CB1" w:rsidRDefault="008A3CB1" w:rsidP="008A3CB1">
      <w:pPr>
        <w:spacing w:line="360" w:lineRule="auto"/>
      </w:pPr>
      <w:r>
        <w:t>Lim and Zohren's (2021) survey supplies the design vocabulary used here. Two of its principles bear directly on volatility: financial sequences benefit from architectures with strong temporal inductive bias, their effective sample sizes being small relative to language or vision tasks; and hybrids in which a network learns residual structure on top of a statistical baseline frequently outperform either component alone. Both motivate conditioning the network on an external state estimate rather than expecting it to learn regime structure unsupervised.</w:t>
      </w:r>
    </w:p>
    <w:p w14:paraId="7D0A9B26" w14:textId="77777777" w:rsidR="008A3CB1" w:rsidRDefault="008A3CB1" w:rsidP="008A3CB1">
      <w:pPr>
        <w:spacing w:line="360" w:lineRule="auto"/>
      </w:pPr>
      <w:r>
        <w:t>The division of labour is precise: the hidden Markov model of Section 2.4 resolves the discrete regime-identification problem that a single-regime parametric specification cannot accommodate, while the LSTM resolves the continuous, non-linear residual dynamics conditional on that state, which the Gaussian-emission HMM is deliberately too simple to capture. Chapter 3 makes that decomposition explicit, including the mixture of per-state experts of Jacobs et al. (1991).</w:t>
      </w:r>
    </w:p>
    <w:p w14:paraId="1AEEF027" w14:textId="77777777" w:rsidR="008A3CB1" w:rsidRDefault="008A3CB1" w:rsidP="008A3CB1">
      <w:pPr>
        <w:spacing w:line="360" w:lineRule="auto"/>
      </w:pPr>
      <w:r>
        <w:t>The most direct empirical precedents are two studies of recurrent networks against econometric baselines, more instructive read against each other than alone. Kim and Won (2018) hybridise an LSTM with GARCH-type models on daily KOSPI 200 data and report the hybrid beating either component; Bucci (2020) benchmarks feed-forward, LSTM and nonlinear autoregressive networks against ARFIMA and HAR on the S&amp;P 500 at monthly frequency and finds the recurrent architectures most accurate. They converge on one claim — LSTM-based models can match or modestly exceed econometric baselines on equity volatility — from opposite corners of the design space: daily frequency but a return-based target in a non-US market, against a US index at a horizon that sidesteps the daily realised-volatility problem. Neither conditions on regime, produces calibrated uncertainty, or applies proxy-robust significance tests.</w:t>
      </w:r>
    </w:p>
    <w:p w14:paraId="4DDB7FC9" w14:textId="77777777" w:rsidR="008A3CB1" w:rsidRDefault="008A3CB1" w:rsidP="008A3CB1">
      <w:pPr>
        <w:spacing w:line="360" w:lineRule="auto"/>
      </w:pPr>
      <w:r>
        <w:t>Those are the four gaps the dissertation closes jointly: daily realised volatility on a major US index, regime conditioning, calibrated uncertainty and proxy-robust testing. More recent work modernises the base — Christensen, Siggaard and Veliyev (2023) show machine learning outperforming HAR on daily realised volatility, while Reisenhofer, Bayer and Hautsch (2022) remains an arXiv preprint and is read as indicative — and a wave of very recent studies sharpens the precedents further, each occupying only part of the pipeline assembled here; Table 2.1 sets out the comparison. The closest comparator, Kılıç (2025), finds regime-switching HAR specifications outperforming deep models on daily S&amp;P 500 realised volatility under QLIKE — a result this dissertation confronts by placing the regime signal inside the network rather than the HAR, and testing whether the conclusion survives once uncertainty is added.</w:t>
      </w:r>
    </w:p>
    <w:p w14:paraId="7F95647F" w14:textId="77777777" w:rsidR="008A3CB1" w:rsidRDefault="008A3CB1" w:rsidP="008A3CB1">
      <w:pPr>
        <w:spacing w:line="360" w:lineRule="auto"/>
      </w:pPr>
    </w:p>
    <w:p w14:paraId="213D6555" w14:textId="77777777" w:rsidR="008A3CB1" w:rsidRDefault="008A3CB1" w:rsidP="008A3CB1">
      <w:pPr>
        <w:pStyle w:val="Heading2"/>
        <w:spacing w:line="360" w:lineRule="auto"/>
      </w:pPr>
      <w:bookmarkStart w:id="6" w:name="X52a78444787454871f991dd5dc3eed38c292db5"/>
      <w:r>
        <w:t>2.6 Uncertainty Quantification in Deep Forecasting</w:t>
      </w:r>
      <w:bookmarkEnd w:id="6"/>
    </w:p>
    <w:p w14:paraId="4B6537D5" w14:textId="77777777" w:rsidR="008A3CB1" w:rsidRDefault="008A3CB1" w:rsidP="008A3CB1">
      <w:pPr>
        <w:spacing w:line="360" w:lineRule="auto"/>
      </w:pPr>
      <w:r>
        <w:t>Two complementary uncertainty-quantification methods are adopted, balancing computational cost against econometric robustness. Deep ensembles (Lakshminarayanan, Pritzel and Blundell, 2017) and full Bayesian inference were set aside on cost. Monte Carlo dropout (Gal and Ghahramani, 2016) needs no architectural change and no extra training; pinball-loss quantile regression (Koenker and Bassett, 1978), motivated by CAViaR (Engle and Manganelli, 2004), imposes no parametric assumption on the conditional distribution.</w:t>
      </w:r>
      <w:r>
        <w:rPr>
          <w:bCs/>
        </w:rPr>
      </w:r>
      <w:r/>
      <w:r/>
      <w:r>
        <w:rPr>
          <w:bCs/>
        </w:rPr>
      </w:r>
      <w:r/>
      <w:r>
        <w:rPr>
          <w:bCs/>
        </w:rPr>
      </w:r>
      <w:r/>
      <w:r>
        <w:t xml:space="preserve"> They are paired because their failure modes do not overlap: dropout’s variational approximation may understate uncertainty under distribution shift, while quantile-regression intervals lack formal coverage guarantees and must be validated empirically.</w:t>
      </w:r>
    </w:p>
    <w:p w14:paraId="16450386" w14:textId="77777777" w:rsidR="008A3CB1" w:rsidRDefault="008A3CB1" w:rsidP="008A3CB1">
      <w:pPr>
        <w:spacing w:line="360" w:lineRule="auto"/>
      </w:pPr>
      <w:r>
        <w:t>Gal and Ghahramani (2016) show that a network trained with dropout can be reinterpreted as approximate Bayesian inference over a deep Gaussian-process prior, stochastic passes at test time sampling the posterior predictive distribution. Its documented limitation is that the dropout rate acts as a hyperparameter materially affecting predictive variance, and that estimates can be over-confident under distribution shift — the regime that dominates financial test periods (Ovadia et al., 2019).</w:t>
      </w:r>
    </w:p>
    <w:p w14:paraId="70A4F734" w14:textId="77777777" w:rsidR="008A3CB1" w:rsidRDefault="008A3CB1" w:rsidP="008A3CB1">
      <w:pPr>
        <w:spacing w:line="360" w:lineRule="auto"/>
      </w:pPr>
      <w:r>
        <w:t>Engle and Manganelli (2004) introduced the Conditional Autoregressive Value at Risk framework, modelling conditional quantiles through an autoregressive recursion estimated by minimising the pinball loss. That distribution-free loss was later adopted by neural quantile regression and refined for finite-sample coverage by conformal methods (Romano, Patterson and Candès, 2019; Xu and Xie, 2021; Gibbs and Candès, 2021), which are acknowledged rather than adopted: conformal calibration needs a held-out set disjoint from both training data and evaluation window, and the pre-test sample here is committed in full to estimating models held fixed across the test period.</w:t>
      </w:r>
    </w:p>
    <w:p w14:paraId="03AC89B2" w14:textId="77777777" w:rsidR="008A3CB1" w:rsidRDefault="008A3CB1" w:rsidP="008A3CB1">
      <w:pPr>
        <w:spacing w:line="360" w:lineRule="auto"/>
      </w:pPr>
      <w:r>
        <w:t>CAViaR therefore justifies training the LSTM to output conditional quantiles directly rather than sampling a posterior. It imposes no distributional assumption and remains valid for heavy-tailed returns, but the estimated quantiles are not guaranteed monotonic and the intervals lack the finite-sample coverage guarantees of Bayesian or conformal procedures, so their empirical coverage must be established rather than assumed.</w:t>
      </w:r>
    </w:p>
    <w:p w14:paraId="0D2B1243" w14:textId="77777777" w:rsidR="008A3CB1" w:rsidRDefault="008A3CB1" w:rsidP="008A3CB1">
      <w:pPr>
        <w:spacing w:line="360" w:lineRule="auto"/>
      </w:pPr>
      <w:r>
        <w:t>Two recent studies bring these ideas onto realised volatility itself and are the dissertation's nearest probabilistic neighbours, each stopping short of the present design; Table 2.1 records what each omits. That the full stack composes is shown outside finance by Isik and Yalcinkaya (2026), who integrate regime detection, a bidirectional LSTM, Monte Carlo dropout and quantile intervals end-to-end for wind-power forecasting, while its financial instantiation remains unoccupied. Gunnarsson et al. (2024) underscore the point: they find deep recurrent models among the strongest realised-volatility forecasters yet explicitly identify probabilistic, uncertainty-aware machine learning as an open direction.</w:t>
      </w:r>
    </w:p>
    <w:p w14:paraId="63AC0DB1" w14:textId="77777777" w:rsidR="008A3CB1" w:rsidRDefault="008A3CB1" w:rsidP="008A3CB1">
      <w:pPr>
        <w:pStyle w:val="Heading2"/>
        <w:spacing w:line="360" w:lineRule="auto"/>
      </w:pPr>
      <w:bookmarkStart w:id="7" w:name="forecast-evaluation-and-comparison"/>
      <w:r>
        <w:t>2.7 Forecast Evaluation and Comparison</w:t>
      </w:r>
      <w:bookmarkEnd w:id="7"/>
    </w:p>
    <w:p w14:paraId="5A962234" w14:textId="77777777" w:rsidR="008A3CB1" w:rsidRDefault="008A3CB1" w:rsidP="008A3CB1">
      <w:pPr>
        <w:spacing w:line="360" w:lineRule="auto"/>
      </w:pPr>
      <w:r>
        <w:t>The standard apparatus for testing whether one forecast is more accurate than another is the pairwise test of Diebold and Mariano (1995), which asks whether the mean loss differential between two forecasts differs significantly from zero under a heteroskedasticity- and autocorrelation-consistent estimate of its long-run variance. It suits volatility forecasting because it accommodates non-Gaussian loss differentials and non-nested comparisons (Gu, Kelly and Xiu, 2020; Makridakis et al., 2020).</w:t>
      </w:r>
    </w:p>
    <w:p w14:paraId="4CAB1C1A" w14:textId="77777777" w:rsidR="008A3CB1" w:rsidRDefault="008A3CB1" w:rsidP="008A3CB1">
      <w:pPr>
        <w:spacing w:line="360" w:lineRule="auto"/>
      </w:pPr>
      <w:r>
        <w:t>The dissertation uses it as its primary pairwise test, with QLIKE following Patton (2011). Because the pipeline compares many models, pairwise testing invites multiple-comparison error, so superiority is also assessed with the Model Confidence Set (Hansen, Lunde and Nason, 2011). Giacomini and White (2006) refine the framework for the long-memory loss series typical of volatility, and their conditional test asks the sharper question of whether the better model is predictable from the state known at the forecast origin — the form RQ2 takes. One condition of that refinement is not satisfied uniformly here, since it assumes a finite estimation window and the econometric baselines are re-estimated on an expanding one; Chapter 3 records the qualification.</w:t>
      </w:r>
    </w:p>
    <w:p w14:paraId="5B61EAE9" w14:textId="77777777" w:rsidR="008A3CB1" w:rsidRDefault="008A3CB1" w:rsidP="008A3CB1">
      <w:pPr>
        <w:spacing w:line="360" w:lineRule="auto"/>
      </w:pPr>
      <w:r>
        <w:t>The criteria for the uncertainty-aware variants come from Gneiting and Raftery (2007), the canonical reference for evaluating probabilistic forecasts. They formalise the strictly proper scoring rule — a loss whose expected value is minimised at the true predictive distribution — and develop the continuous ranked probability score and the interval (Winkler) score as integrated criteria rewarding both location and spread. The principle they crystallise is that a probabilistic forecast cannot be judged by its point estimate alone: two forecasts with identical means may differ substantially in tail behaviour, and therefore in economic value to a risk manager sizing positions or setting capital.</w:t>
      </w:r>
    </w:p>
    <w:p w14:paraId="567DC1D6" w14:textId="77777777" w:rsidR="008A3CB1" w:rsidRDefault="008A3CB1" w:rsidP="008A3CB1">
      <w:pPr>
        <w:spacing w:line="360" w:lineRule="auto"/>
      </w:pPr>
      <w:r>
        <w:t>A distinct literature evaluates interval forecasts as value-at-risk backtests and supplies three criteria Chapter 3 applies. Kupiec (1995) tests whether the unconditional rate of violations matches its nominal level; Christoffersen (1998) extends this to conditional coverage by testing their independence, so a band with the right average rate but clustered breaches is rejected; and the dynamic-quantile regression of Engle and Manganelli (2004) asks whether violations are predictable at the forecast origin. Applied across methods, levels and tails they form a family subject to multiple-comparison error, which the Holm (1979) correction controls. That this family comes from risk-management practice matters: an interval whose stated confidence is not met misstates risk to whoever relies on it, so coverage is tested rather than assumed.</w:t>
      </w:r>
    </w:p>
    <w:p w14:paraId="31821CBD" w14:textId="77777777" w:rsidR="008A3CB1" w:rsidRDefault="008A3CB1" w:rsidP="008A3CB1">
      <w:pPr>
        <w:pStyle w:val="Heading2"/>
        <w:spacing w:line="360" w:lineRule="auto"/>
      </w:pPr>
      <w:bookmarkStart w:id="8" w:name="synthesis-and-identified-gap"/>
      <w:bookmarkEnd w:id="8"/>
      <w:r>
        <w:t>2.8 Synthesis, Identified Gap and Summary</w:t>
      </w:r>
    </w:p>
    <w:p w14:paraId="67954B03" w14:textId="77777777" w:rsidR="008A3CB1" w:rsidRDefault="008A3CB1" w:rsidP="008A3CB1">
      <w:pPr>
        <w:spacing w:line="360" w:lineRule="auto"/>
      </w:pPr>
      <w:r>
        <w:t>The four traditions describe a coherent landscape whose components have not been integrated into one empirical pipeline for daily realised-volatility forecasting on a major US equity index. The regime-switching machinery for extracting persistent states is almost always paired with parametric rather than neural models; LSTMs have matched or modestly exceeded econometric baselines (Kim and Won, 2018; Bucci, 2020) but rarely on daily realised volatility for a major US index and rarely conditioned on regime; and the two routes to calibrated predictive distributions (Gal and Ghahramani, 2016; Engle and Manganelli, 2004) are benchmarked mostly on general tasks. Across all four the evidence is uneven, and so indicative rather than decisive here.</w:t>
      </w:r>
    </w:p>
    <w:p w14:paraId="2913919B" w14:textId="77777777" w:rsidR="008A3CB1" w:rsidRDefault="008A3CB1" w:rsidP="008A3CB1">
      <w:pPr>
        <w:spacing w:line="360" w:lineRule="auto"/>
      </w:pPr>
      <w:r>
        <w:t xml:space="preserve">The gap is therefore one of </w:t>
      </w:r>
      <w:r>
        <w:rPr>
          <w:b/>
        </w:rPr>
        <w:t>integration</w:t>
      </w:r>
      <w:r>
        <w:t xml:space="preserve"> rather than novelty: the four traditions have matured separately, but their combination on a common evaluation protocol has not been systematically examined. The gap reflects adjudication, not omission — stochastic volatility, attention models, joint return-and-RV models and conformal uncertainty were each weighed above and set aside for stated reasons.</w:t>
      </w:r>
    </w:p>
    <w:p w14:paraId="2EB5D859" w14:textId="77777777" w:rsidR="008A3CB1" w:rsidRDefault="008A3CB1" w:rsidP="008A3CB1">
      <w:pPr>
        <w:spacing w:line="360" w:lineRule="auto"/>
      </w:pPr>
      <w:r>
        <w:t>Table 2.1 places the dissertation against its nearest neighbours and makes the boundary precise: each occupies part of the pipeline, none the whole of it. To the best of this review — extensive but not exhaustive — no study combines a regime-conditioned LSTM with dual uncertainty quantification for equity realised volatility on the Oxford-Man Realized Library under Model-Confidence-Set and interval-coverage evaluation. That intersection, integrative rather than methodological, is what the dissertation claims: the aim is not a novel architecture but a rigorous test of the integrated pipeline, which Chapter 3 specifies.</w:t>
      </w:r>
    </w:p>
    <w:p w14:paraId="2EB5D859" w14:textId="77777777" w:rsidR="008A3CB1" w:rsidRDefault="008A3CB1" w:rsidP="008A3CB1">
      <w:pPr>
        <w:pStyle w:val="Caption"/>
      </w:pPr>
      <w:r>
        <w:t xml:space="preserve">Table 2.1  The nearest studies and what each leaves open. A dash marks a component the study does not include. Reisenhofer et al. (2022), Blake et al. (2025), Dudek et al. (2025) and Goel et al. (2025) are preprints, and are read as indicative.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0"/>
        <w:gridCol w:w="1450"/>
        <w:gridCol w:w="1600"/>
        <w:gridCol w:w="1450"/>
        <w:gridCol w:w="1176"/>
        <w:gridCol w:w="1500"/>
      </w:tblGrid>
      <w:tr>
        <w:trPr>
          <w:tblHeader/>
        </w:trPr>
        <w:tc>
          <w:tcPr>
            <w:tcW w:type="dxa" w:w="1850"/>
          </w:tcPr>
          <w:p>
            <w:pPr>
              <w:spacing w:before="40" w:after="40"/>
            </w:pPr>
            <w:r>
              <w:rPr>
                <w:b/>
                <w:sz w:val="18"/>
              </w:rPr>
              <w:t>Study</w:t>
            </w:r>
          </w:p>
        </w:tc>
        <w:tc>
          <w:tcPr>
            <w:tcW w:type="dxa" w:w="1450"/>
          </w:tcPr>
          <w:p>
            <w:pPr>
              <w:spacing w:before="40" w:after="40"/>
            </w:pPr>
            <w:r>
              <w:rPr>
                <w:b/>
                <w:sz w:val="18"/>
              </w:rPr>
              <w:t>Target</w:t>
            </w:r>
          </w:p>
        </w:tc>
        <w:tc>
          <w:tcPr>
            <w:tcW w:type="dxa" w:w="1600"/>
          </w:tcPr>
          <w:p>
            <w:pPr>
              <w:spacing w:before="40" w:after="40"/>
            </w:pPr>
            <w:r>
              <w:rPr>
                <w:b/>
                <w:sz w:val="18"/>
              </w:rPr>
              <w:t>Deep model</w:t>
            </w:r>
          </w:p>
        </w:tc>
        <w:tc>
          <w:tcPr>
            <w:tcW w:type="dxa" w:w="1450"/>
          </w:tcPr>
          <w:p>
            <w:pPr>
              <w:spacing w:before="40" w:after="40"/>
            </w:pPr>
            <w:r>
              <w:rPr>
                <w:b/>
                <w:sz w:val="18"/>
              </w:rPr>
              <w:t>Regime</w:t>
            </w:r>
          </w:p>
        </w:tc>
        <w:tc>
          <w:tcPr>
            <w:tcW w:type="dxa" w:w="1176"/>
          </w:tcPr>
          <w:p>
            <w:pPr>
              <w:spacing w:before="40" w:after="40"/>
            </w:pPr>
            <w:r>
              <w:rPr>
                <w:b/>
                <w:sz w:val="18"/>
              </w:rPr>
              <w:t>Uncertainty</w:t>
            </w:r>
          </w:p>
        </w:tc>
        <w:tc>
          <w:tcPr>
            <w:tcW w:type="dxa" w:w="1500"/>
          </w:tcPr>
          <w:p>
            <w:pPr>
              <w:spacing w:before="40" w:after="40"/>
            </w:pPr>
            <w:r>
              <w:rPr>
                <w:b/>
                <w:sz w:val="18"/>
              </w:rPr>
              <w:t>Econometric baselines</w:t>
            </w:r>
          </w:p>
        </w:tc>
      </w:tr>
      <w:tr>
        <w:tc>
          <w:tcPr>
            <w:tcW w:type="dxa" w:w="1850"/>
          </w:tcPr>
          <w:p>
            <w:pPr>
              <w:spacing w:before="40" w:after="40"/>
            </w:pPr>
            <w:r>
              <w:rPr>
                <w:sz w:val="18"/>
              </w:rPr>
              <w:t>Kim and Won (2018)</w:t>
            </w:r>
          </w:p>
        </w:tc>
        <w:tc>
          <w:tcPr>
            <w:tcW w:type="dxa" w:w="1450"/>
          </w:tcPr>
          <w:p>
            <w:pPr>
              <w:spacing w:before="40" w:after="40"/>
            </w:pPr>
            <w:r>
              <w:rPr>
                <w:sz w:val="18"/>
              </w:rPr>
              <w:t>KOSPI 200, return-based</w:t>
            </w:r>
          </w:p>
        </w:tc>
        <w:tc>
          <w:tcPr>
            <w:tcW w:type="dxa" w:w="1600"/>
          </w:tcPr>
          <w:p>
            <w:pPr>
              <w:spacing w:before="40" w:after="40"/>
            </w:pPr>
            <w:r>
              <w:rPr>
                <w:sz w:val="18"/>
              </w:rPr>
              <w:t>LSTM-GARCH hybrid</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family</w:t>
            </w:r>
          </w:p>
        </w:tc>
      </w:tr>
      <w:tr>
        <w:tc>
          <w:tcPr>
            <w:tcW w:type="dxa" w:w="1850"/>
          </w:tcPr>
          <w:p>
            <w:pPr>
              <w:spacing w:before="40" w:after="40"/>
            </w:pPr>
            <w:r>
              <w:rPr>
                <w:sz w:val="18"/>
              </w:rPr>
              <w:t>Bucci (2020)</w:t>
            </w:r>
          </w:p>
        </w:tc>
        <w:tc>
          <w:tcPr>
            <w:tcW w:type="dxa" w:w="1450"/>
          </w:tcPr>
          <w:p>
            <w:pPr>
              <w:spacing w:before="40" w:after="40"/>
            </w:pPr>
            <w:r>
              <w:rPr>
                <w:sz w:val="18"/>
              </w:rPr>
              <w:t>S&amp;P 500, monthly</w:t>
            </w:r>
          </w:p>
        </w:tc>
        <w:tc>
          <w:tcPr>
            <w:tcW w:type="dxa" w:w="1600"/>
          </w:tcPr>
          <w:p>
            <w:pPr>
              <w:spacing w:before="40" w:after="40"/>
            </w:pPr>
            <w:r>
              <w:rPr>
                <w:sz w:val="18"/>
              </w:rPr>
              <w:t>LSTM, NAR, MLP</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ARFIMA, HAR</w:t>
            </w:r>
          </w:p>
        </w:tc>
      </w:tr>
      <w:tr>
        <w:tc>
          <w:tcPr>
            <w:tcW w:type="dxa" w:w="1850"/>
          </w:tcPr>
          <w:p>
            <w:pPr>
              <w:spacing w:before="40" w:after="40"/>
            </w:pPr>
            <w:r>
              <w:rPr>
                <w:sz w:val="18"/>
              </w:rPr>
              <w:t>Reisenhofer et al. (2022)</w:t>
            </w:r>
          </w:p>
        </w:tc>
        <w:tc>
          <w:tcPr>
            <w:tcW w:type="dxa" w:w="1450"/>
          </w:tcPr>
          <w:p>
            <w:pPr>
              <w:spacing w:before="40" w:after="40"/>
            </w:pPr>
            <w:r>
              <w:rPr>
                <w:sz w:val="18"/>
              </w:rPr>
              <w:t>Daily RV (preprint)</w:t>
            </w:r>
          </w:p>
        </w:tc>
        <w:tc>
          <w:tcPr>
            <w:tcW w:type="dxa" w:w="1600"/>
          </w:tcPr>
          <w:p>
            <w:pPr>
              <w:spacing w:before="40" w:after="40"/>
            </w:pPr>
            <w:r>
              <w:rPr>
                <w:sz w:val="18"/>
              </w:rPr>
              <w:t>HAR-initialised CNN</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Christensen et al. (2023)</w:t>
            </w:r>
          </w:p>
        </w:tc>
        <w:tc>
          <w:tcPr>
            <w:tcW w:type="dxa" w:w="1450"/>
          </w:tcPr>
          <w:p>
            <w:pPr>
              <w:spacing w:before="40" w:after="40"/>
            </w:pPr>
            <w:r>
              <w:rPr>
                <w:sz w:val="18"/>
              </w:rPr>
              <w:t>Daily RV</w:t>
            </w:r>
          </w:p>
        </w:tc>
        <w:tc>
          <w:tcPr>
            <w:tcW w:type="dxa" w:w="1600"/>
          </w:tcPr>
          <w:p>
            <w:pPr>
              <w:spacing w:before="40" w:after="40"/>
            </w:pPr>
            <w:r>
              <w:rPr>
                <w:sz w:val="18"/>
              </w:rPr>
              <w:t>Trees, networks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Erlwein-Sayer et al. (2023)</w:t>
            </w:r>
          </w:p>
        </w:tc>
        <w:tc>
          <w:tcPr>
            <w:tcW w:type="dxa" w:w="1450"/>
          </w:tcPr>
          <w:p>
            <w:pPr>
              <w:spacing w:before="40" w:after="40"/>
            </w:pPr>
            <w:r>
              <w:rPr>
                <w:sz w:val="18"/>
              </w:rPr>
              <w:t>Credit spreads</w:t>
            </w:r>
          </w:p>
        </w:tc>
        <w:tc>
          <w:tcPr>
            <w:tcW w:type="dxa" w:w="1600"/>
          </w:tcPr>
          <w:p>
            <w:pPr>
              <w:spacing w:before="40" w:after="40"/>
            </w:pPr>
            <w:r>
              <w:rPr>
                <w:sz w:val="18"/>
              </w:rPr>
              <w:t>LSTM</w:t>
            </w:r>
          </w:p>
        </w:tc>
        <w:tc>
          <w:tcPr>
            <w:tcW w:type="dxa" w:w="1450"/>
          </w:tcPr>
          <w:p>
            <w:pPr>
              <w:spacing w:before="40" w:after="40"/>
            </w:pPr>
            <w:r>
              <w:rPr>
                <w:sz w:val="18"/>
              </w:rPr>
              <w:t>HMM, as feature</w:t>
            </w:r>
          </w:p>
        </w:tc>
        <w:tc>
          <w:tcPr>
            <w:tcW w:type="dxa" w:w="1176"/>
          </w:tcPr>
          <w:p>
            <w:pPr>
              <w:spacing w:before="40" w:after="40"/>
            </w:pPr>
            <w:r>
              <w:rPr>
                <w:sz w:val="18"/>
              </w:rPr>
              <w:t>—</w:t>
            </w:r>
          </w:p>
        </w:tc>
        <w:tc>
          <w:tcPr>
            <w:tcW w:type="dxa" w:w="1500"/>
          </w:tcPr>
          <w:p>
            <w:pPr>
              <w:spacing w:before="40" w:after="40"/>
            </w:pPr>
            <w:r>
              <w:rPr>
                <w:sz w:val="18"/>
              </w:rPr>
              <w:t>—</w:t>
            </w:r>
          </w:p>
        </w:tc>
      </w:tr>
      <w:tr>
        <w:tc>
          <w:tcPr>
            <w:tcW w:type="dxa" w:w="1850"/>
          </w:tcPr>
          <w:p>
            <w:pPr>
              <w:spacing w:before="40" w:after="40"/>
            </w:pPr>
            <w:r>
              <w:rPr>
                <w:sz w:val="18"/>
              </w:rPr>
              <w:t>Moreno-Pino and Zohren (2024); Zhang et al. (2024); Frank (2023)</w:t>
            </w:r>
          </w:p>
        </w:tc>
        <w:tc>
          <w:tcPr>
            <w:tcW w:type="dxa" w:w="1450"/>
          </w:tcPr>
          <w:p>
            <w:pPr>
              <w:spacing w:before="40" w:after="40"/>
            </w:pPr>
            <w:r>
              <w:rPr>
                <w:sz w:val="18"/>
              </w:rPr>
              <w:t>Daily RV</w:t>
            </w:r>
          </w:p>
        </w:tc>
        <w:tc>
          <w:tcPr>
            <w:tcW w:type="dxa" w:w="1600"/>
          </w:tcPr>
          <w:p>
            <w:pPr>
              <w:spacing w:before="40" w:after="40"/>
            </w:pPr>
            <w:r>
              <w:rPr>
                <w:sz w:val="18"/>
              </w:rPr>
              <w:t>CNN, TFT, ML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Gunnarsson et al. (2024)</w:t>
            </w:r>
          </w:p>
        </w:tc>
        <w:tc>
          <w:tcPr>
            <w:tcW w:type="dxa" w:w="1450"/>
          </w:tcPr>
          <w:p>
            <w:pPr>
              <w:spacing w:before="40" w:after="40"/>
            </w:pPr>
            <w:r>
              <w:rPr>
                <w:sz w:val="18"/>
              </w:rPr>
              <w:t>Daily RV</w:t>
            </w:r>
          </w:p>
        </w:tc>
        <w:tc>
          <w:tcPr>
            <w:tcW w:type="dxa" w:w="1600"/>
          </w:tcPr>
          <w:p>
            <w:pPr>
              <w:spacing w:before="40" w:after="40"/>
            </w:pPr>
            <w:r>
              <w:rPr>
                <w:sz w:val="18"/>
              </w:rPr>
              <w:t>Recurrent, ensembles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GARCH</w:t>
            </w:r>
          </w:p>
        </w:tc>
      </w:tr>
      <w:tr>
        <w:tc>
          <w:tcPr>
            <w:tcW w:type="dxa" w:w="1850"/>
          </w:tcPr>
          <w:p>
            <w:pPr>
              <w:spacing w:before="40" w:after="40"/>
            </w:pPr>
            <w:r>
              <w:rPr>
                <w:sz w:val="18"/>
              </w:rPr>
              <w:t>Blake et al. (2025)</w:t>
            </w:r>
          </w:p>
        </w:tc>
        <w:tc>
          <w:tcPr>
            <w:tcW w:type="dxa" w:w="1450"/>
          </w:tcPr>
          <w:p>
            <w:pPr>
              <w:spacing w:before="40" w:after="40"/>
            </w:pPr>
            <w:r>
              <w:rPr>
                <w:sz w:val="18"/>
              </w:rPr>
              <w:t>S&amp;P 500 daily RV</w:t>
            </w:r>
          </w:p>
        </w:tc>
        <w:tc>
          <w:tcPr>
            <w:tcW w:type="dxa" w:w="1600"/>
          </w:tcPr>
          <w:p>
            <w:pPr>
              <w:spacing w:before="40" w:after="40"/>
            </w:pPr>
            <w:r>
              <w:rPr>
                <w:sz w:val="18"/>
              </w:rPr>
              <w:t>—</w:t>
            </w:r>
          </w:p>
        </w:tc>
        <w:tc>
          <w:tcPr>
            <w:tcW w:type="dxa" w:w="1450"/>
          </w:tcPr>
          <w:p>
            <w:pPr>
              <w:spacing w:before="40" w:after="40"/>
            </w:pPr>
            <w:r>
              <w:rPr>
                <w:sz w:val="18"/>
              </w:rPr>
              <w:t>Soft Markov-switching</w:t>
            </w:r>
          </w:p>
        </w:tc>
        <w:tc>
          <w:tcPr>
            <w:tcW w:type="dxa" w:w="1176"/>
          </w:tcPr>
          <w:p>
            <w:pPr>
              <w:spacing w:before="40" w:after="40"/>
            </w:pPr>
            <w:r>
              <w:rPr>
                <w:sz w:val="18"/>
              </w:rPr>
              <w:t>—</w:t>
            </w:r>
          </w:p>
        </w:tc>
        <w:tc>
          <w:tcPr>
            <w:tcW w:type="dxa" w:w="1500"/>
          </w:tcPr>
          <w:p>
            <w:pPr>
              <w:spacing w:before="40" w:after="40"/>
            </w:pPr>
            <w:r>
              <w:rPr>
                <w:sz w:val="18"/>
              </w:rPr>
              <w:t>Autoregressive</w:t>
            </w:r>
          </w:p>
        </w:tc>
      </w:tr>
      <w:tr>
        <w:tc>
          <w:tcPr>
            <w:tcW w:type="dxa" w:w="1850"/>
          </w:tcPr>
          <w:p>
            <w:pPr>
              <w:spacing w:before="40" w:after="40"/>
            </w:pPr>
            <w:r>
              <w:rPr>
                <w:sz w:val="18"/>
              </w:rPr>
              <w:t>Kılıç (2025)</w:t>
            </w:r>
          </w:p>
        </w:tc>
        <w:tc>
          <w:tcPr>
            <w:tcW w:type="dxa" w:w="1450"/>
          </w:tcPr>
          <w:p>
            <w:pPr>
              <w:spacing w:before="40" w:after="40"/>
            </w:pPr>
            <w:r>
              <w:rPr>
                <w:sz w:val="18"/>
              </w:rPr>
              <w:t>S&amp;P 500 daily RV</w:t>
            </w:r>
          </w:p>
        </w:tc>
        <w:tc>
          <w:tcPr>
            <w:tcW w:type="dxa" w:w="1600"/>
          </w:tcPr>
          <w:p>
            <w:pPr>
              <w:spacing w:before="40" w:after="40"/>
            </w:pPr>
            <w:r>
              <w:rPr>
                <w:sz w:val="18"/>
              </w:rPr>
              <w:t>LSTM, GRU, attention</w:t>
            </w:r>
          </w:p>
        </w:tc>
        <w:tc>
          <w:tcPr>
            <w:tcW w:type="dxa" w:w="1450"/>
          </w:tcPr>
          <w:p>
            <w:pPr>
              <w:spacing w:before="40" w:after="40"/>
            </w:pPr>
            <w:r>
              <w:rPr>
                <w:sz w:val="18"/>
              </w:rPr>
              <w:t>Regime-switching HAR</w:t>
            </w:r>
          </w:p>
        </w:tc>
        <w:tc>
          <w:tcPr>
            <w:tcW w:type="dxa" w:w="1176"/>
          </w:tcPr>
          <w:p>
            <w:pPr>
              <w:spacing w:before="40" w:after="40"/>
            </w:pPr>
            <w:r>
              <w:rPr>
                <w:sz w:val="18"/>
              </w:rPr>
              <w:t>—</w:t>
            </w:r>
          </w:p>
        </w:tc>
        <w:tc>
          <w:tcPr>
            <w:tcW w:type="dxa" w:w="1500"/>
          </w:tcPr>
          <w:p>
            <w:pPr>
              <w:spacing w:before="40" w:after="40"/>
            </w:pPr>
            <w:r>
              <w:rPr>
                <w:sz w:val="18"/>
              </w:rPr>
              <w:t>HAR variants</w:t>
            </w:r>
          </w:p>
        </w:tc>
      </w:tr>
      <w:tr>
        <w:tc>
          <w:tcPr>
            <w:tcW w:type="dxa" w:w="1850"/>
          </w:tcPr>
          <w:p>
            <w:pPr>
              <w:spacing w:before="40" w:after="40"/>
            </w:pPr>
            <w:r>
              <w:rPr>
                <w:sz w:val="18"/>
              </w:rPr>
              <w:t>Taneva-Angelova and Granchev (2025)</w:t>
            </w:r>
          </w:p>
        </w:tc>
        <w:tc>
          <w:tcPr>
            <w:tcW w:type="dxa" w:w="1450"/>
          </w:tcPr>
          <w:p>
            <w:pPr>
              <w:spacing w:before="40" w:after="40"/>
            </w:pPr>
            <w:r>
              <w:rPr>
                <w:sz w:val="18"/>
              </w:rPr>
              <w:t>US-index RV</w:t>
            </w:r>
          </w:p>
        </w:tc>
        <w:tc>
          <w:tcPr>
            <w:tcW w:type="dxa" w:w="1600"/>
          </w:tcPr>
          <w:p>
            <w:pPr>
              <w:spacing w:before="40" w:after="40"/>
            </w:pPr>
            <w:r>
              <w:rPr>
                <w:sz w:val="18"/>
              </w:rPr>
              <w:t>LSTM, CNN-LSTM, Transformer</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HAR-RV, ARIMA</w:t>
            </w:r>
          </w:p>
        </w:tc>
      </w:tr>
      <w:tr>
        <w:tc>
          <w:tcPr>
            <w:tcW w:type="dxa" w:w="1850"/>
          </w:tcPr>
          <w:p>
            <w:pPr>
              <w:spacing w:before="40" w:after="40"/>
            </w:pPr>
            <w:r>
              <w:rPr>
                <w:sz w:val="18"/>
              </w:rPr>
              <w:t>Goel et al. (2025)</w:t>
            </w:r>
          </w:p>
        </w:tc>
        <w:tc>
          <w:tcPr>
            <w:tcW w:type="dxa" w:w="1450"/>
          </w:tcPr>
          <w:p>
            <w:pPr>
              <w:spacing w:before="40" w:after="40"/>
            </w:pPr>
            <w:r>
              <w:rPr>
                <w:sz w:val="18"/>
              </w:rPr>
              <w:t>Oxford-Man RV</w:t>
            </w:r>
          </w:p>
        </w:tc>
        <w:tc>
          <w:tcPr>
            <w:tcW w:type="dxa" w:w="1600"/>
          </w:tcPr>
          <w:p>
            <w:pPr>
              <w:spacing w:before="40" w:after="40"/>
            </w:pPr>
            <w:r>
              <w:rPr>
                <w:sz w:val="18"/>
              </w:rPr>
              <w:t>Foundation model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CHAR, Realized GARCH</w:t>
            </w:r>
          </w:p>
        </w:tc>
      </w:tr>
      <w:tr>
        <w:tc>
          <w:tcPr>
            <w:tcW w:type="dxa" w:w="1850"/>
          </w:tcPr>
          <w:p>
            <w:pPr>
              <w:spacing w:before="40" w:after="40"/>
            </w:pPr>
            <w:r>
              <w:rPr>
                <w:sz w:val="18"/>
              </w:rPr>
              <w:t>Song et al. (2025)</w:t>
            </w:r>
          </w:p>
        </w:tc>
        <w:tc>
          <w:tcPr>
            <w:tcW w:type="dxa" w:w="1450"/>
          </w:tcPr>
          <w:p>
            <w:pPr>
              <w:spacing w:before="40" w:after="40"/>
            </w:pPr>
            <w:r>
              <w:rPr>
                <w:sz w:val="18"/>
              </w:rPr>
              <w:t>US ETF RV</w:t>
            </w:r>
          </w:p>
        </w:tc>
        <w:tc>
          <w:tcPr>
            <w:tcW w:type="dxa" w:w="1600"/>
          </w:tcPr>
          <w:p>
            <w:pPr>
              <w:spacing w:before="40" w:after="40"/>
            </w:pPr>
            <w:r>
              <w:rPr>
                <w:sz w:val="18"/>
              </w:rPr>
              <w:t>Bidirectional LSTM</w:t>
            </w:r>
          </w:p>
        </w:tc>
        <w:tc>
          <w:tcPr>
            <w:tcW w:type="dxa" w:w="1450"/>
          </w:tcPr>
          <w:p>
            <w:pPr>
              <w:spacing w:before="40" w:after="40"/>
            </w:pPr>
            <w:r>
              <w:rPr>
                <w:sz w:val="18"/>
              </w:rPr>
              <w:t>—</w:t>
            </w:r>
          </w:p>
        </w:tc>
        <w:tc>
          <w:tcPr>
            <w:tcW w:type="dxa" w:w="1176"/>
          </w:tcPr>
          <w:p>
            <w:pPr>
              <w:spacing w:before="40" w:after="40"/>
            </w:pPr>
            <w:r>
              <w:rPr>
                <w:sz w:val="18"/>
              </w:rPr>
              <w:t>Quantile</w:t>
            </w:r>
          </w:p>
        </w:tc>
        <w:tc>
          <w:tcPr>
            <w:tcW w:type="dxa" w:w="1500"/>
          </w:tcPr>
          <w:p>
            <w:pPr>
              <w:spacing w:before="40" w:after="40"/>
            </w:pPr>
            <w:r>
              <w:rPr>
                <w:sz w:val="18"/>
              </w:rPr>
              <w:t>—</w:t>
            </w:r>
          </w:p>
        </w:tc>
      </w:tr>
      <w:tr>
        <w:tc>
          <w:tcPr>
            <w:tcW w:type="dxa" w:w="1850"/>
          </w:tcPr>
          <w:p>
            <w:pPr>
              <w:spacing w:before="40" w:after="40"/>
            </w:pPr>
            <w:r>
              <w:rPr>
                <w:sz w:val="18"/>
              </w:rPr>
              <w:t>Dudek et al. (2025)</w:t>
            </w:r>
          </w:p>
        </w:tc>
        <w:tc>
          <w:tcPr>
            <w:tcW w:type="dxa" w:w="1450"/>
          </w:tcPr>
          <w:p>
            <w:pPr>
              <w:spacing w:before="40" w:after="40"/>
            </w:pPr>
            <w:r>
              <w:rPr>
                <w:sz w:val="18"/>
              </w:rPr>
              <w:t>Crypto RV</w:t>
            </w:r>
          </w:p>
        </w:tc>
        <w:tc>
          <w:tcPr>
            <w:tcW w:type="dxa" w:w="1600"/>
          </w:tcPr>
          <w:p>
            <w:pPr>
              <w:spacing w:before="40" w:after="40"/>
            </w:pPr>
            <w:r>
              <w:rPr>
                <w:sz w:val="18"/>
              </w:rPr>
              <w:t>LSTM among others</w:t>
            </w:r>
          </w:p>
        </w:tc>
        <w:tc>
          <w:tcPr>
            <w:tcW w:type="dxa" w:w="1450"/>
          </w:tcPr>
          <w:p>
            <w:pPr>
              <w:spacing w:before="40" w:after="40"/>
            </w:pPr>
            <w:r>
              <w:rPr>
                <w:sz w:val="18"/>
              </w:rPr>
              <w:t>—</w:t>
            </w:r>
          </w:p>
        </w:tc>
        <w:tc>
          <w:tcPr>
            <w:tcW w:type="dxa" w:w="1176"/>
          </w:tcPr>
          <w:p>
            <w:pPr>
              <w:spacing w:before="40" w:after="40"/>
            </w:pPr>
            <w:r>
              <w:rPr>
                <w:sz w:val="18"/>
              </w:rPr>
              <w:t>Quantile, interval</w:t>
            </w:r>
          </w:p>
        </w:tc>
        <w:tc>
          <w:tcPr>
            <w:tcW w:type="dxa" w:w="1500"/>
          </w:tcPr>
          <w:p>
            <w:pPr>
              <w:spacing w:before="40" w:after="40"/>
            </w:pPr>
            <w:r>
              <w:rPr>
                <w:sz w:val="18"/>
              </w:rPr>
              <w:t>HAR, GARCH</w:t>
            </w:r>
          </w:p>
        </w:tc>
      </w:tr>
      <w:tr>
        <w:tc>
          <w:tcPr>
            <w:tcW w:type="dxa" w:w="1850"/>
          </w:tcPr>
          <w:p>
            <w:pPr>
              <w:spacing w:before="40" w:after="40"/>
            </w:pPr>
            <w:r>
              <w:rPr>
                <w:sz w:val="18"/>
              </w:rPr>
              <w:t>Kumar et al. (2026)</w:t>
            </w:r>
          </w:p>
        </w:tc>
        <w:tc>
          <w:tcPr>
            <w:tcW w:type="dxa" w:w="1450"/>
          </w:tcPr>
          <w:p>
            <w:pPr>
              <w:spacing w:before="40" w:after="40"/>
            </w:pPr>
            <w:r>
              <w:rPr>
                <w:sz w:val="18"/>
              </w:rPr>
              <w:t>Squared-return proxy</w:t>
            </w:r>
          </w:p>
        </w:tc>
        <w:tc>
          <w:tcPr>
            <w:tcW w:type="dxa" w:w="1600"/>
          </w:tcPr>
          <w:p>
            <w:pPr>
              <w:spacing w:before="40" w:after="40"/>
            </w:pPr>
            <w:r>
              <w:rPr>
                <w:sz w:val="18"/>
              </w:rPr>
              <w:t>LSTM and graph network</w:t>
            </w:r>
          </w:p>
        </w:tc>
        <w:tc>
          <w:tcPr>
            <w:tcW w:type="dxa" w:w="1450"/>
          </w:tcPr>
          <w:p>
            <w:pPr>
              <w:spacing w:before="40" w:after="40"/>
            </w:pPr>
            <w:r>
              <w:rPr>
                <w:sz w:val="18"/>
              </w:rPr>
              <w:t>Partition graphs</w:t>
            </w:r>
          </w:p>
        </w:tc>
        <w:tc>
          <w:tcPr>
            <w:tcW w:type="dxa" w:w="1176"/>
          </w:tcPr>
          <w:p>
            <w:pPr>
              <w:spacing w:before="40" w:after="40"/>
            </w:pPr>
            <w:r>
              <w:rPr>
                <w:sz w:val="18"/>
              </w:rPr>
              <w:t>—</w:t>
            </w:r>
          </w:p>
        </w:tc>
        <w:tc>
          <w:tcPr>
            <w:tcW w:type="dxa" w:w="1500"/>
          </w:tcPr>
          <w:p>
            <w:pPr>
              <w:spacing w:before="40" w:after="40"/>
            </w:pPr>
            <w:r>
              <w:rPr>
                <w:sz w:val="18"/>
              </w:rPr>
              <w:t>GARCH, EGARCH, HAR-RV</w:t>
            </w:r>
          </w:p>
        </w:tc>
      </w:tr>
      <w:tr>
        <w:tc>
          <w:tcPr>
            <w:tcW w:type="dxa" w:w="1850"/>
          </w:tcPr>
          <w:p>
            <w:pPr>
              <w:spacing w:before="40" w:after="40"/>
            </w:pPr>
            <w:r>
              <w:rPr>
                <w:sz w:val="18"/>
              </w:rPr>
              <w:t>Isik and Yalcinkaya (2026)</w:t>
            </w:r>
          </w:p>
        </w:tc>
        <w:tc>
          <w:tcPr>
            <w:tcW w:type="dxa" w:w="1450"/>
          </w:tcPr>
          <w:p>
            <w:pPr>
              <w:spacing w:before="40" w:after="40"/>
            </w:pPr>
            <w:r>
              <w:rPr>
                <w:sz w:val="18"/>
              </w:rPr>
              <w:t>Wind power</w:t>
            </w:r>
          </w:p>
        </w:tc>
        <w:tc>
          <w:tcPr>
            <w:tcW w:type="dxa" w:w="1600"/>
          </w:tcPr>
          <w:p>
            <w:pPr>
              <w:spacing w:before="40" w:after="40"/>
            </w:pPr>
            <w:r>
              <w:rPr>
                <w:sz w:val="18"/>
              </w:rPr>
              <w:t>Bidirectional LSTM</w:t>
            </w:r>
          </w:p>
        </w:tc>
        <w:tc>
          <w:tcPr>
            <w:tcW w:type="dxa" w:w="1450"/>
          </w:tcPr>
          <w:p>
            <w:pPr>
              <w:spacing w:before="40" w:after="40"/>
            </w:pPr>
            <w:r>
              <w:rPr>
                <w:sz w:val="18"/>
              </w:rPr>
              <w:t>Regime detection</w:t>
            </w:r>
          </w:p>
        </w:tc>
        <w:tc>
          <w:tcPr>
            <w:tcW w:type="dxa" w:w="1176"/>
          </w:tcPr>
          <w:p>
            <w:pPr>
              <w:spacing w:before="40" w:after="40"/>
            </w:pPr>
            <w:r>
              <w:rPr>
                <w:sz w:val="18"/>
              </w:rPr>
              <w:t>Dropout and quantile</w:t>
            </w:r>
          </w:p>
        </w:tc>
        <w:tc>
          <w:tcPr>
            <w:tcW w:type="dxa" w:w="1500"/>
          </w:tcPr>
          <w:p>
            <w:pPr>
              <w:spacing w:before="40" w:after="40"/>
            </w:pPr>
            <w:r>
              <w:rPr>
                <w:sz w:val="18"/>
              </w:rPr>
              <w:t>—</w:t>
            </w:r>
          </w:p>
        </w:tc>
      </w:tr>
      <w:tr>
        <w:tc>
          <w:tcPr>
            <w:tcW w:type="dxa" w:w="1850"/>
          </w:tcPr>
          <w:p>
            <w:pPr>
              <w:spacing w:before="40" w:after="40"/>
            </w:pPr>
            <w:r>
              <w:rPr>
                <w:sz w:val="18"/>
              </w:rPr>
              <w:t>This dissertation</w:t>
            </w:r>
          </w:p>
        </w:tc>
        <w:tc>
          <w:tcPr>
            <w:tcW w:type="dxa" w:w="1450"/>
          </w:tcPr>
          <w:p>
            <w:pPr>
              <w:spacing w:before="40" w:after="40"/>
            </w:pPr>
            <w:r>
              <w:rPr>
                <w:sz w:val="18"/>
              </w:rPr>
              <w:t>S&amp;P 500 daily RV (Oxford-Man); Russell 2000 and FTSE 100 transfer check</w:t>
            </w:r>
          </w:p>
        </w:tc>
        <w:tc>
          <w:tcPr>
            <w:tcW w:type="dxa" w:w="1600"/>
          </w:tcPr>
          <w:p>
            <w:pPr>
              <w:spacing w:before="40" w:after="40"/>
            </w:pPr>
            <w:r>
              <w:rPr>
                <w:sz w:val="18"/>
              </w:rPr>
              <w:t>LSTM</w:t>
            </w:r>
          </w:p>
        </w:tc>
        <w:tc>
          <w:tcPr>
            <w:tcW w:type="dxa" w:w="1450"/>
          </w:tcPr>
          <w:p>
            <w:pPr>
              <w:spacing w:before="40" w:after="40"/>
            </w:pPr>
            <w:r>
              <w:rPr>
                <w:sz w:val="18"/>
              </w:rPr>
              <w:t>Jump-penalised HMM, filtered</w:t>
            </w:r>
          </w:p>
        </w:tc>
        <w:tc>
          <w:tcPr>
            <w:tcW w:type="dxa" w:w="1176"/>
          </w:tcPr>
          <w:p>
            <w:pPr>
              <w:spacing w:before="40" w:after="40"/>
            </w:pPr>
            <w:r>
              <w:rPr>
                <w:sz w:val="18"/>
              </w:rPr>
              <w:t>Dropout and quantile</w:t>
            </w:r>
          </w:p>
        </w:tc>
        <w:tc>
          <w:tcPr>
            <w:tcW w:type="dxa" w:w="1500"/>
          </w:tcPr>
          <w:p>
            <w:pPr>
              <w:spacing w:before="40" w:after="40"/>
            </w:pPr>
            <w:r>
              <w:rPr>
                <w:sz w:val="18"/>
              </w:rPr>
              <w:t>GARCH, EGARCH, HAR-RV</w:t>
            </w:r>
          </w:p>
        </w:tc>
      </w:tr>
    </w:tbl>
    <w:p w14:paraId="6880197D" w14:textId="77777777" w:rsidR="008A3CB1" w:rsidRDefault="008A3CB1" w:rsidP="008A3CB1">
      <w:pPr>
        <w:spacing w:line="360" w:lineRule="auto"/>
      </w:pPr>
      <w:r>
        <w:t>The value of the study accordingly rests less on whether deep learning wins outright — Kılıç (2025) suggests it may not, HAR-RV remaining demanding on its native target — than on an honest, leakage-free ablation isolating when regime-awareness and calibrated uncertainty improve daily S&amp;P 500 forecasts and when they do not, with particular attention to per-regime interval calibration. A model that adds well-calibrated intervals without lowering point error remains a defensible result for risk management, and the study is framed to report that outcome as readily as a headline improvement.</w:t>
      </w:r>
    </w:p>
    <w:p w14:paraId="6C236601" w14:textId="77777777" w:rsidR="008A3CB1" w:rsidRDefault="008A3CB1" w:rsidP="008A3CB1">
      <w:pPr>
        <w:pStyle w:val="Heading1"/>
        <w:spacing w:line="360" w:lineRule="auto"/>
      </w:pPr>
      <w:bookmarkStart w:id="9" w:name="references"/>
      <w:r>
        <w:t>References</w:t>
      </w:r>
      <w:bookmarkEnd w:id="9"/>
    </w:p>
    <w:p w14:paraId="250D30F9" w14:textId="77777777" w:rsidR="008A3CB1" w:rsidRDefault="008A3CB1" w:rsidP="008A3CB1">
      <w:pPr>
        <w:spacing w:line="36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14:paraId="061C76A2" w14:textId="77777777" w:rsidR="008A3CB1" w:rsidRDefault="008A3CB1" w:rsidP="008A3CB1">
      <w:pPr>
        <w:spacing w:line="360" w:lineRule="auto"/>
        <w:ind w:left="567" w:hanging="567"/>
        <w:jc w:val="left"/>
      </w:pPr>
      <w:r>
        <w:t xml:space="preserve">Ang, A. and Bekaert, G., 2002. International asset allocation with regime shifts. </w:t>
      </w:r>
      <w:r>
        <w:rPr>
          <w:i/>
        </w:rPr>
        <w:t>The Review of Financial Studies</w:t>
      </w:r>
      <w:r>
        <w:t>, 15(4), pp.1137–1187. https://doi.org/10.1093/rfs/15.4.1137</w:t>
      </w:r>
    </w:p>
    <w:p w14:paraId="0CFFE4D8" w14:textId="77777777" w:rsidR="008A3CB1" w:rsidRDefault="008A3CB1" w:rsidP="008A3CB1">
      <w:pPr>
        <w:spacing w:line="360" w:lineRule="auto"/>
        <w:ind w:left="567" w:hanging="567"/>
        <w:jc w:val="left"/>
      </w:pPr>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4FFAEA97" w14:textId="77777777" w:rsidR="008A3CB1" w:rsidRDefault="008A3CB1" w:rsidP="008A3CB1">
      <w:pPr>
        <w:spacing w:line="360" w:lineRule="auto"/>
        <w:ind w:left="567" w:hanging="567"/>
        <w:jc w:val="left"/>
      </w:pPr>
      <w:r>
        <w:t>Blake, A.C., Gandhi, N.A. and Jakkula, A.R., 2025. Improving S&amp;P 500 volatility forecasting through regime-switching methods. arXiv preprint arXiv:2510.03236. https://doi.org/10.48550/arXiv.2510.03236</w:t>
      </w:r>
    </w:p>
    <w:p w14:paraId="68067E91" w14:textId="77777777" w:rsidR="008A3CB1" w:rsidRDefault="008A3CB1" w:rsidP="008A3CB1">
      <w:pPr>
        <w:spacing w:line="360" w:lineRule="auto"/>
        <w:ind w:left="567" w:hanging="567"/>
        <w:jc w:val="left"/>
      </w:pPr>
      <w:r>
        <w:t xml:space="preserve">Bollerslev, T., 1986. Generalized autoregressive conditional heteroskedasticity. </w:t>
      </w:r>
      <w:r>
        <w:rPr>
          <w:i/>
        </w:rPr>
        <w:t>Journal of Econometrics</w:t>
      </w:r>
      <w:r>
        <w:t>, 31(3), pp.307–327. https://doi.org/10.1016/0304-4076(86)90063-1</w:t>
      </w:r>
    </w:p>
    <w:p w14:paraId="5C32671A" w14:textId="77777777" w:rsidR="008A3CB1" w:rsidRDefault="008A3CB1" w:rsidP="008A3CB1">
      <w:pPr>
        <w:spacing w:line="360" w:lineRule="auto"/>
        <w:ind w:left="567" w:hanging="567"/>
        <w:jc w:val="left"/>
      </w:pPr>
      <w:r>
        <w:t xml:space="preserve">Bollerslev, T., Patton, A.J. and Quaedvlieg, R., 2016. Exploiting the errors: a simple approach for improved volatility forecasting. </w:t>
      </w:r>
      <w:r>
        <w:rPr>
          <w:i/>
        </w:rPr>
        <w:t>Journal of Econometrics</w:t>
      </w:r>
      <w:r>
        <w:t>, 192(1), pp.1–18. https://doi.org/10.1016/j.jeconom.2015.10.007</w:t>
      </w:r>
    </w:p>
    <w:p w14:paraId="14AA35E7" w14:textId="77777777" w:rsidR="008A3CB1" w:rsidRDefault="008A3CB1" w:rsidP="008A3CB1">
      <w:pPr>
        <w:spacing w:line="360" w:lineRule="auto"/>
        <w:ind w:left="567" w:hanging="567"/>
        <w:jc w:val="left"/>
      </w:pPr>
      <w:r>
        <w:t xml:space="preserve">Bucci, A., 2020. Realized volatility forecasting with neural networks. </w:t>
      </w:r>
      <w:r>
        <w:rPr>
          <w:i/>
        </w:rPr>
        <w:t>Journal of Financial Econometrics</w:t>
      </w:r>
      <w:r>
        <w:t>, 18(3), pp.502–531. https://doi.org/10.1093/jjfinec/nbaa008</w:t>
      </w:r>
    </w:p>
    <w:p w14:paraId="60E29025" w14:textId="77777777" w:rsidR="008A3CB1" w:rsidRDefault="008A3CB1" w:rsidP="008A3CB1">
      <w:pPr>
        <w:spacing w:line="360" w:lineRule="auto"/>
        <w:ind w:left="567" w:hanging="567"/>
        <w:jc w:val="left"/>
      </w:pPr>
      <w:r>
        <w:lastRenderedPageBreak/>
        <w:t xml:space="preserve">Christensen, K., Siggaard, M. and Veliyev, B., 2023. A machine learning approach to volatility forecasting. </w:t>
      </w:r>
      <w:r>
        <w:rPr>
          <w:i/>
        </w:rPr>
        <w:t>Journal of Financial Econometrics</w:t>
      </w:r>
      <w:r>
        <w:t>, 21(5), pp.1680–1727. https://doi.org/10.1093/jjfinec/nbac020</w:t>
      </w:r>
    </w:p>
    <w:p w14:paraId="6EC0C23E" w14:textId="77777777" w:rsidR="008A3CB1" w:rsidRDefault="008A3CB1" w:rsidP="008A3CB1">
      <w:pPr>
        <w:spacing w:line="360" w:lineRule="auto"/>
        <w:ind w:left="567" w:hanging="567"/>
        <w:jc w:val="left"/>
      </w:pPr>
      <w:r>
        <w:t xml:space="preserve">Cont, R., 2001. Empirical properties of asset returns: stylized facts and statistical issues. </w:t>
      </w:r>
      <w:r>
        <w:rPr>
          <w:i/>
        </w:rPr>
        <w:t>Quantitative Finance</w:t>
      </w:r>
      <w:r>
        <w:t>, 1(2), pp.223–236. https://doi.org/10.1080/713665670</w:t>
      </w:r>
    </w:p>
    <w:p w14:paraId="73E8A674" w14:textId="77777777" w:rsidR="008A3CB1" w:rsidRDefault="008A3CB1" w:rsidP="008A3CB1">
      <w:pPr>
        <w:spacing w:line="36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14:paraId="3F469991" w14:textId="77777777" w:rsidR="008A3CB1" w:rsidRDefault="008A3CB1" w:rsidP="008A3CB1">
      <w:pPr>
        <w:spacing w:line="360" w:lineRule="auto"/>
        <w:ind w:left="567" w:hanging="567"/>
        <w:jc w:val="left"/>
      </w:pPr>
      <w:r>
        <w:t xml:space="preserve">Dacco, R. and Satchell, S., 1999. Why do regime-switching models forecast so badly? </w:t>
      </w:r>
      <w:r>
        <w:rPr>
          <w:i/>
        </w:rPr>
        <w:t>Journal of Forecasting</w:t>
      </w:r>
      <w:r>
        <w:t>, 18(1), pp.1–16. https://doi.org/10.1002/(SICI)1099-131X(199901)18:1%3C1::AID-FOR685%3E3.0.CO;2-B</w:t>
      </w:r>
    </w:p>
    <w:p w14:paraId="127E1909" w14:textId="77777777" w:rsidR="008A3CB1" w:rsidRDefault="008A3CB1" w:rsidP="008A3CB1">
      <w:pPr>
        <w:spacing w:line="36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14:paraId="0A931B15" w14:textId="77777777" w:rsidR="008A3CB1" w:rsidRDefault="008A3CB1" w:rsidP="008A3CB1">
      <w:pPr>
        <w:spacing w:line="360" w:lineRule="auto"/>
        <w:ind w:left="567" w:hanging="567"/>
        <w:jc w:val="left"/>
      </w:pPr>
      <w:r>
        <w:t>Dudek, G., Orzeszko, W. and Fiszeder, P., 2025. Probabilistic forecasting cryptocurrencies volatility: from point to quantile forecasts. arXiv preprint arXiv:2508.15922. https://doi.org/10.48550/arXiv.2508.15922</w:t>
      </w:r>
    </w:p>
    <w:p w14:paraId="48829992" w14:textId="77777777" w:rsidR="008A3CB1" w:rsidRDefault="008A3CB1" w:rsidP="008A3CB1">
      <w:pPr>
        <w:spacing w:line="360" w:lineRule="auto"/>
        <w:ind w:left="567" w:hanging="567"/>
        <w:jc w:val="left"/>
      </w:pPr>
      <w:r>
        <w:t xml:space="preserve">Engle, R.F., 1982. Autoregressive conditional heteroscedasticity with estimates of the variance of United Kingdom inflation. </w:t>
      </w:r>
      <w:r>
        <w:rPr>
          <w:i/>
        </w:rPr>
        <w:t>Econometrica</w:t>
      </w:r>
      <w:r>
        <w:t>, 50(4), pp.987–1007. https://doi.org/10.2307/1912773</w:t>
      </w:r>
    </w:p>
    <w:p w14:paraId="554A3E92" w14:textId="77777777" w:rsidR="008A3CB1" w:rsidRDefault="008A3CB1" w:rsidP="008A3CB1">
      <w:pPr>
        <w:spacing w:line="36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14:paraId="1C4F3A49" w14:textId="77777777" w:rsidR="008A3CB1" w:rsidRDefault="008A3CB1" w:rsidP="008A3CB1">
      <w:pPr>
        <w:spacing w:line="360" w:lineRule="auto"/>
        <w:ind w:left="567" w:hanging="567"/>
        <w:jc w:val="left"/>
      </w:pPr>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267BD4CB" w14:textId="77777777" w:rsidR="008A3CB1" w:rsidRDefault="008A3CB1" w:rsidP="008A3CB1">
      <w:pPr>
        <w:spacing w:line="360" w:lineRule="auto"/>
        <w:ind w:left="567" w:hanging="567"/>
        <w:jc w:val="left"/>
      </w:pPr>
      <w:r>
        <w:t xml:space="preserve">Frank, J., 2023. Forecasting realized volatility in turbulent times using temporal fusion transformers. </w:t>
      </w:r>
      <w:r>
        <w:rPr>
          <w:i/>
        </w:rPr>
        <w:t>FAU Discussion Papers in Economics</w:t>
      </w:r>
      <w:r>
        <w:t>, No. 03/2023. https://ideas.repec.org/p/zbw/iwqwdp/032023.html</w:t>
      </w:r>
    </w:p>
    <w:p w14:paraId="779F3427" w14:textId="77777777" w:rsidR="008A3CB1" w:rsidRDefault="008A3CB1" w:rsidP="008A3CB1">
      <w:pPr>
        <w:spacing w:line="36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31A0B627" w14:textId="77777777" w:rsidR="008A3CB1" w:rsidRDefault="008A3CB1" w:rsidP="008A3CB1">
      <w:pPr>
        <w:spacing w:line="360" w:lineRule="auto"/>
        <w:ind w:left="567" w:hanging="567"/>
        <w:jc w:val="left"/>
      </w:pPr>
      <w:r>
        <w:t xml:space="preserve">Giacomini, R. and White, H., 2006. Tests of conditional predictive ability. </w:t>
      </w:r>
      <w:r>
        <w:rPr>
          <w:i/>
        </w:rPr>
        <w:t>Econometrica</w:t>
      </w:r>
      <w:r>
        <w:t>, 74(6), pp.1545–1578. https://doi.org/10.1111/j.1468-0262.2006.00718.x</w:t>
      </w:r>
    </w:p>
    <w:p w14:paraId="7D78C4EA" w14:textId="77777777" w:rsidR="008A3CB1" w:rsidRDefault="008A3CB1" w:rsidP="008A3CB1">
      <w:pPr>
        <w:spacing w:line="360" w:lineRule="auto"/>
        <w:ind w:left="567" w:hanging="567"/>
        <w:jc w:val="left"/>
      </w:pPr>
      <w:r>
        <w:t xml:space="preserve">Gibbs, I. and Candès, E., 2021. Adaptive conformal inference under distribution shift. In: </w:t>
      </w:r>
      <w:r>
        <w:rPr>
          <w:i/>
        </w:rPr>
        <w:t>Advances in Neural Information Processing Systems 34 (NeurIPS 2021)</w:t>
      </w:r>
      <w:r>
        <w:t>.</w:t>
      </w:r>
    </w:p>
    <w:p w14:paraId="1D27418B" w14:textId="77777777" w:rsidR="008A3CB1" w:rsidRDefault="008A3CB1" w:rsidP="008A3CB1">
      <w:pPr>
        <w:spacing w:line="360" w:lineRule="auto"/>
        <w:ind w:left="567" w:hanging="567"/>
        <w:jc w:val="left"/>
      </w:pPr>
      <w:r>
        <w:lastRenderedPageBreak/>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060A20C8" w14:textId="77777777" w:rsidR="008A3CB1" w:rsidRDefault="008A3CB1" w:rsidP="008A3CB1">
      <w:pPr>
        <w:spacing w:line="36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4D983D5F" w14:textId="77777777" w:rsidR="008A3CB1" w:rsidRDefault="008A3CB1" w:rsidP="008A3CB1">
      <w:pPr>
        <w:spacing w:line="360" w:lineRule="auto"/>
        <w:ind w:left="567" w:hanging="567"/>
        <w:jc w:val="left"/>
      </w:pPr>
      <w:r>
        <w:t>Goel, A., Pasricha, P., Magris, M. and Kanniainen, J., 2025. Foundation time-series AI model for realized volatility forecasting. arXiv preprint arXiv:2505.11163. https://doi.org/10.48550/arXiv.2505.11163</w:t>
      </w:r>
    </w:p>
    <w:p w14:paraId="64773F80" w14:textId="77777777" w:rsidR="008A3CB1" w:rsidRDefault="008A3CB1" w:rsidP="008A3CB1">
      <w:pPr>
        <w:spacing w:line="360" w:lineRule="auto"/>
        <w:ind w:left="567" w:hanging="567"/>
        <w:jc w:val="left"/>
      </w:pPr>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4DCBF11C" w14:textId="77777777" w:rsidR="008A3CB1" w:rsidRPr="00591BF3" w:rsidRDefault="008A3CB1" w:rsidP="008A3CB1">
      <w:pPr>
        <w:spacing w:line="360" w:lineRule="auto"/>
        <w:ind w:left="567" w:hanging="567"/>
        <w:jc w:val="left"/>
      </w:pPr>
      <w:r>
        <w:t xml:space="preserve">Gu, S., Kelly, B. and Xiu, D., 2020. Empirical asset pricing via machine learning. </w:t>
      </w:r>
      <w:r>
        <w:rPr>
          <w:i/>
          <w:iCs/>
        </w:rPr>
        <w:t>The Review of Financial Studies</w:t>
      </w:r>
      <w:r>
        <w:t xml:space="preserve">, </w:t>
      </w:r>
      <w:r>
        <w:rPr>
          <w:i/>
          <w:iCs/>
        </w:rPr>
        <w:t>33</w:t>
      </w:r>
      <w:r>
        <w:t>(5), pp.2223-2273.</w:t>
      </w:r>
    </w:p>
    <w:p w14:paraId="23ED9052" w14:textId="77777777" w:rsidR="008A3CB1" w:rsidRDefault="008A3CB1" w:rsidP="008A3CB1">
      <w:pPr>
        <w:spacing w:line="360" w:lineRule="auto"/>
        <w:ind w:left="567" w:hanging="567"/>
        <w:jc w:val="left"/>
      </w:pPr>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6BC668C3" w14:textId="77777777" w:rsidR="008A3CB1" w:rsidRDefault="008A3CB1" w:rsidP="008A3CB1">
      <w:pPr>
        <w:spacing w:line="36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14:paraId="35ADEBEA" w14:textId="77777777" w:rsidR="008A3CB1" w:rsidRDefault="008A3CB1" w:rsidP="008A3CB1">
      <w:pPr>
        <w:spacing w:line="360" w:lineRule="auto"/>
        <w:ind w:left="567" w:hanging="567"/>
        <w:jc w:val="left"/>
      </w:pPr>
      <w:r>
        <w:t xml:space="preserve">Hansen, P.R., Huang, Z. and Shek, H.H., 2012. Realized GARCH: a joint model for returns and realized measures of volatility. </w:t>
      </w:r>
      <w:r>
        <w:rPr>
          <w:i/>
        </w:rPr>
        <w:t>Journal of Applied Econometrics</w:t>
      </w:r>
      <w:r>
        <w:t>, 27(6), pp.877–906. https://doi.org/10.1002/jae.1234</w:t>
      </w:r>
    </w:p>
    <w:p w14:paraId="6C403936" w14:textId="77777777" w:rsidR="008A3CB1" w:rsidRDefault="008A3CB1" w:rsidP="008A3CB1">
      <w:pPr>
        <w:spacing w:line="360" w:lineRule="auto"/>
        <w:ind w:left="567" w:hanging="567"/>
        <w:jc w:val="left"/>
      </w:pPr>
      <w:r>
        <w:t xml:space="preserve">Hansen, P.R. and Lunde, A., 2005. A forecast comparison of volatility models: does anything beat a GARCH(1,1)? </w:t>
      </w:r>
      <w:r>
        <w:rPr>
          <w:i/>
        </w:rPr>
        <w:t>Journal of Applied Econometrics</w:t>
      </w:r>
      <w:r>
        <w:t>, 20(7), pp.873–889. https://doi.org/10.1002/jae.800</w:t>
      </w:r>
    </w:p>
    <w:p w14:paraId="76DFB836" w14:textId="77777777" w:rsidR="008A3CB1" w:rsidRDefault="008A3CB1" w:rsidP="008A3CB1">
      <w:pPr>
        <w:spacing w:line="360" w:lineRule="auto"/>
        <w:ind w:left="567" w:hanging="567"/>
        <w:jc w:val="left"/>
      </w:pPr>
      <w:r>
        <w:t xml:space="preserve">Hansen, P.R., Lunde, A. and Nason, J.M., 2011. The model confidence set. </w:t>
      </w:r>
      <w:r>
        <w:rPr>
          <w:i/>
        </w:rPr>
        <w:t>Econometrica</w:t>
      </w:r>
      <w:r>
        <w:t>, 79(2), pp.453–497. https://doi.org/10.3982/ECTA5771</w:t>
      </w:r>
    </w:p>
    <w:p w14:paraId="7FAAE986" w14:textId="77777777" w:rsidR="008A3CB1" w:rsidRDefault="008A3CB1" w:rsidP="008A3CB1">
      <w:pPr>
        <w:spacing w:line="360" w:lineRule="auto"/>
        <w:ind w:left="567" w:hanging="567"/>
        <w:jc w:val="left"/>
      </w:pPr>
      <w:r>
        <w:t>Heber, G., Lunde, A., Shephard, N. and Sheppard, K., 2009. Oxford-Man Institute’s realized library. Oxford-Man Institute, University of Oxford.</w:t>
      </w:r>
    </w:p>
    <w:p w14:paraId="5ACDA7E6" w14:textId="77777777" w:rsidR="008A3CB1" w:rsidRDefault="008A3CB1" w:rsidP="008A3CB1">
      <w:pPr>
        <w:spacing w:line="360" w:lineRule="auto"/>
        <w:ind w:left="567" w:hanging="567"/>
        <w:jc w:val="left"/>
      </w:pPr>
      <w:r w:rsidRPr="00FE7C2A">
        <w:t xml:space="preserve">Hochreiter, S. and Schmidhuber, J., 1997. </w:t>
      </w:r>
      <w:r>
        <w:t xml:space="preserve">Long short-term memory. </w:t>
      </w:r>
      <w:r>
        <w:rPr>
          <w:i/>
        </w:rPr>
        <w:t>Neural Computation</w:t>
      </w:r>
      <w:r>
        <w:t>, 9(8), pp.1735–1780. https://doi.org/10.1162/neco.1997.9.8.1735</w:t>
      </w:r>
    </w:p>
    <w:p w14:paraId="1EAF03E4" w14:textId="77777777" w:rsidR="008A3CB1" w:rsidRDefault="008A3CB1" w:rsidP="008A3CB1">
      <w:pPr>
        <w:spacing w:line="360" w:lineRule="auto"/>
        <w:ind w:left="567" w:hanging="567"/>
        <w:jc w:val="left"/>
      </w:pPr>
      <w:r>
        <w:lastRenderedPageBreak/>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B34F36E" w14:textId="77777777" w:rsidR="008A3CB1" w:rsidRDefault="008A3CB1" w:rsidP="008A3CB1">
      <w:pPr>
        <w:spacing w:line="360" w:lineRule="auto"/>
        <w:ind w:left="567" w:hanging="567"/>
        <w:jc w:val="left"/>
      </w:pPr>
      <w:r>
        <w:t xml:space="preserve">Jacobs, R.A., Jordan, M.I., Nowlan, S.J. and Hinton, G.E., 1991. Adaptive mixtures of local experts. </w:t>
      </w:r>
      <w:r>
        <w:rPr>
          <w:i/>
        </w:rPr>
        <w:t xml:space="preserve">Neural Computation</w:t>
      </w:r>
      <w:r>
        <w:t xml:space="preserve">, 3(1), pp.79–87. https://doi.org/10.1162/neco.1991.3.1.79</w:t>
      </w:r>
    </w:p>
    <w:p w14:paraId="3B34F36E" w14:textId="77777777" w:rsidR="008A3CB1" w:rsidRDefault="008A3CB1" w:rsidP="008A3CB1">
      <w:pPr>
        <w:spacing w:line="360" w:lineRule="auto"/>
        <w:ind w:left="567" w:hanging="567"/>
        <w:jc w:val="left"/>
      </w:pPr>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796BA63D" w14:textId="77777777" w:rsidR="008A3CB1" w:rsidRDefault="008A3CB1" w:rsidP="008A3CB1">
      <w:pPr>
        <w:spacing w:line="360" w:lineRule="auto"/>
        <w:ind w:left="567" w:hanging="567"/>
        <w:jc w:val="left"/>
      </w:pPr>
      <w:r>
        <w:t xml:space="preserve">Kim, S., Shephard, N. and Chib, S., 1998. Stochastic volatility: likelihood inference and comparison with ARCH models. </w:t>
      </w:r>
      <w:r>
        <w:rPr>
          <w:i/>
        </w:rPr>
        <w:t>The Review of Economic Studies</w:t>
      </w:r>
      <w:r>
        <w:t>, 65(3), pp.361–393. https://doi.org/10.1111/1467-937X.00050</w:t>
      </w:r>
    </w:p>
    <w:p w14:paraId="31D565DA" w14:textId="77777777" w:rsidR="008A3CB1" w:rsidRDefault="008A3CB1" w:rsidP="008A3CB1">
      <w:pPr>
        <w:spacing w:line="360" w:lineRule="auto"/>
        <w:ind w:left="567" w:hanging="567"/>
        <w:jc w:val="left"/>
      </w:pPr>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62B1210D" w14:textId="77777777" w:rsidR="008A3CB1" w:rsidRDefault="008A3CB1" w:rsidP="008A3CB1">
      <w:pPr>
        <w:spacing w:line="360" w:lineRule="auto"/>
        <w:ind w:left="567" w:hanging="567"/>
        <w:jc w:val="left"/>
      </w:pPr>
      <w:r>
        <w:t xml:space="preserve">Koenker, R. and Bassett, G., 1978. Regression quantiles. </w:t>
      </w:r>
      <w:r>
        <w:rPr>
          <w:i/>
        </w:rPr>
        <w:t xml:space="preserve">Econometrica</w:t>
      </w:r>
      <w:r>
        <w:t xml:space="preserve">, 46(1), pp.33–50. https://doi.org/10.2307/1913643</w:t>
      </w:r>
    </w:p>
    <w:p w14:paraId="62B1210D" w14:textId="77777777" w:rsidR="008A3CB1" w:rsidRDefault="008A3CB1" w:rsidP="008A3CB1">
      <w:pPr>
        <w:spacing w:line="360" w:lineRule="auto"/>
        <w:ind w:left="567" w:hanging="567"/>
        <w:jc w:val="left"/>
      </w:pPr>
      <w:r>
        <w:t xml:space="preserve">Kumar, P.N., Umeorah, N. and Alochukwu, A., 2026. Regime-dependent graph neural networks for enhanced volatility prediction in financial markets. </w:t>
      </w:r>
      <w:r>
        <w:rPr>
          <w:i/>
        </w:rPr>
        <w:t>Mathematics</w:t>
      </w:r>
      <w:r>
        <w:t>, 14(2), 289. https://doi.org/10.3390/math14020289</w:t>
      </w:r>
    </w:p>
    <w:p w14:paraId="404DED27" w14:textId="77777777" w:rsidR="008A3CB1" w:rsidRDefault="008A3CB1" w:rsidP="008A3CB1">
      <w:pPr>
        <w:spacing w:line="360" w:lineRule="auto"/>
        <w:ind w:left="567" w:hanging="567"/>
        <w:jc w:val="left"/>
      </w:pPr>
      <w:r>
        <w:t xml:space="preserve">Lakshminarayanan, B., Pritzel, A. and Blundell, C., 2017. Simple and scalable predictive uncertainty estimation using deep ensembles. In: </w:t>
      </w:r>
      <w:r>
        <w:rPr>
          <w:i/>
        </w:rPr>
        <w:t>Advances in Neural Information Processing Systems 30 (NeurIPS 2017)</w:t>
      </w:r>
      <w:r>
        <w:t>.</w:t>
      </w:r>
    </w:p>
    <w:p w14:paraId="088FCD8F" w14:textId="77777777" w:rsidR="008A3CB1" w:rsidRDefault="008A3CB1" w:rsidP="008A3CB1">
      <w:pPr>
        <w:spacing w:line="36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0FCD9901" w14:textId="77777777" w:rsidR="008A3CB1" w:rsidRDefault="008A3CB1" w:rsidP="008A3CB1">
      <w:pPr>
        <w:spacing w:line="36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5D737BBA" w14:textId="77777777" w:rsidR="008A3CB1" w:rsidRDefault="008A3CB1" w:rsidP="008A3CB1">
      <w:pPr>
        <w:spacing w:line="360" w:lineRule="auto"/>
        <w:ind w:left="567" w:hanging="567"/>
        <w:jc w:val="left"/>
      </w:pPr>
      <w:r>
        <w:t xml:space="preserve">Makridakis, S., Spiliotis, E. and Assimakopoulos, V., 2020. The M4 Competition: 100,000 time series and 61 forecasting methods. </w:t>
      </w:r>
      <w:r>
        <w:rPr>
          <w:i/>
          <w:iCs/>
        </w:rPr>
        <w:t>International Journal of Forecasting</w:t>
      </w:r>
      <w:r>
        <w:t xml:space="preserve">, </w:t>
      </w:r>
      <w:r>
        <w:rPr>
          <w:i/>
          <w:iCs/>
        </w:rPr>
        <w:t>36</w:t>
      </w:r>
      <w:r>
        <w:t>(1), pp.54-74.</w:t>
      </w:r>
    </w:p>
    <w:p w14:paraId="325E6989" w14:textId="77777777" w:rsidR="008A3CB1" w:rsidRDefault="008A3CB1" w:rsidP="008A3CB1">
      <w:pPr>
        <w:spacing w:line="360" w:lineRule="auto"/>
        <w:ind w:left="567" w:hanging="567"/>
        <w:jc w:val="left"/>
      </w:pPr>
      <w:r>
        <w:t xml:space="preserve">Moreno-Pino, F. and Zohren, S., 2024. DeepVol: volatility forecasting from high-frequency data with dilated causal convolutions. </w:t>
      </w:r>
      <w:r>
        <w:rPr>
          <w:i/>
        </w:rPr>
        <w:t>Quantitative Finance</w:t>
      </w:r>
      <w:r>
        <w:t>. https://doi.org/10.1080/14697688.2024.2387222</w:t>
      </w:r>
    </w:p>
    <w:p w14:paraId="6B0373E0" w14:textId="77777777" w:rsidR="008A3CB1" w:rsidRDefault="008A3CB1" w:rsidP="008A3CB1">
      <w:pPr>
        <w:spacing w:line="360" w:lineRule="auto"/>
        <w:ind w:left="567" w:hanging="567"/>
        <w:jc w:val="left"/>
      </w:pPr>
      <w:r>
        <w:t xml:space="preserve">Nelson, D.B., 1991. Conditional heteroskedasticity in asset returns: a new approach. </w:t>
      </w:r>
      <w:r>
        <w:rPr>
          <w:i/>
        </w:rPr>
        <w:t>Econometrica</w:t>
      </w:r>
      <w:r>
        <w:t>, 59(2), pp.347–370. https://doi.org/10.2307/2938260</w:t>
      </w:r>
    </w:p>
    <w:p w14:paraId="7E8140AC" w14:textId="77777777" w:rsidR="008A3CB1" w:rsidRDefault="008A3CB1" w:rsidP="008A3CB1">
      <w:pPr>
        <w:spacing w:line="36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14:paraId="3F9B00B1" w14:textId="77777777" w:rsidR="008A3CB1" w:rsidRDefault="008A3CB1" w:rsidP="008A3CB1">
      <w:pPr>
        <w:spacing w:line="360" w:lineRule="auto"/>
        <w:ind w:left="567" w:hanging="567"/>
        <w:jc w:val="left"/>
      </w:pPr>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38766A08" w14:textId="77777777" w:rsidR="008A3CB1" w:rsidRDefault="008A3CB1" w:rsidP="008A3CB1">
      <w:pPr>
        <w:spacing w:line="36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14:paraId="31CE85AE" w14:textId="77777777" w:rsidR="008A3CB1" w:rsidRDefault="008A3CB1" w:rsidP="008A3CB1">
      <w:pPr>
        <w:spacing w:line="360" w:lineRule="auto"/>
        <w:ind w:left="567" w:hanging="567"/>
        <w:jc w:val="left"/>
      </w:pPr>
      <w:r>
        <w:t xml:space="preserve">Reisenhofer, R., Bayer, X. and Hautsch, N., 2022. HARNet: a convolutional neural network for realized volatility forecasting. </w:t>
      </w:r>
      <w:r>
        <w:rPr>
          <w:i/>
        </w:rPr>
        <w:t>arXiv preprint arXiv:2205.07719</w:t>
      </w:r>
      <w:r>
        <w:t>. https://doi.org/10.48550/arXiv.2205.07719</w:t>
      </w:r>
    </w:p>
    <w:p w14:paraId="5AEB36B5" w14:textId="77777777" w:rsidR="008A3CB1" w:rsidRDefault="008A3CB1" w:rsidP="008A3CB1">
      <w:pPr>
        <w:spacing w:line="360" w:lineRule="auto"/>
        <w:ind w:left="567" w:hanging="567"/>
        <w:jc w:val="left"/>
      </w:pPr>
      <w:r>
        <w:t xml:space="preserve">Romano, Y., Patterson, E. and Candès, E., 2019. Conformalized quantile regression. In: </w:t>
      </w:r>
      <w:r>
        <w:rPr>
          <w:i/>
        </w:rPr>
        <w:t>Advances in Neural Information Processing Systems 32 (NeurIPS 2019)</w:t>
      </w:r>
      <w:r>
        <w:t>.</w:t>
      </w:r>
    </w:p>
    <w:p w14:paraId="0C9E9712" w14:textId="77777777" w:rsidR="008A3CB1" w:rsidRDefault="008A3CB1" w:rsidP="008A3CB1">
      <w:pPr>
        <w:spacing w:line="360" w:lineRule="auto"/>
        <w:ind w:left="567" w:hanging="567"/>
        <w:jc w:val="left"/>
      </w:pPr>
      <w:r>
        <w:t xml:space="preserve">Song, J., Lee, H., Lee, J. and Chang, W., 2025. Forecasting realized volatility using deep learning quantile function. </w:t>
      </w:r>
      <w:r>
        <w:rPr>
          <w:i/>
        </w:rPr>
        <w:t>Applied Soft Computing</w:t>
      </w:r>
      <w:r>
        <w:t>, 175, 113016. https://doi.org/10.1016/j.asoc.2025.113016</w:t>
      </w:r>
    </w:p>
    <w:p w14:paraId="3B1654CC" w14:textId="77777777" w:rsidR="008A3CB1" w:rsidRDefault="008A3CB1" w:rsidP="008A3CB1">
      <w:pPr>
        <w:spacing w:line="360" w:lineRule="auto"/>
        <w:ind w:left="567" w:hanging="567"/>
        <w:jc w:val="left"/>
      </w:pPr>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2BFE5FB" w14:textId="77777777" w:rsidR="008A3CB1" w:rsidRDefault="008A3CB1" w:rsidP="008A3CB1">
      <w:pPr>
        <w:spacing w:line="360" w:lineRule="auto"/>
        <w:ind w:left="567" w:hanging="567"/>
        <w:jc w:val="left"/>
      </w:pPr>
      <w:r>
        <w:t xml:space="preserve">Taylor, S.J., 1986. </w:t>
      </w:r>
      <w:r>
        <w:rPr>
          <w:i/>
        </w:rPr>
        <w:t>Modelling Financial Time Series</w:t>
      </w:r>
      <w:r>
        <w:t>. Chichester: John Wiley &amp; Sons.</w:t>
      </w:r>
    </w:p>
    <w:p w14:paraId="76E6C026" w14:textId="77777777" w:rsidR="008A3CB1" w:rsidRDefault="008A3CB1" w:rsidP="008A3CB1">
      <w:pPr>
        <w:spacing w:line="36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14:paraId="0D665636" w14:textId="77777777" w:rsidR="008A3CB1" w:rsidRDefault="008A3CB1" w:rsidP="008A3CB1">
      <w:pPr>
        <w:spacing w:line="360" w:lineRule="auto"/>
        <w:ind w:left="567" w:hanging="567"/>
        <w:jc w:val="left"/>
      </w:pPr>
      <w:r>
        <w:t xml:space="preserve">Xu, C. and Xie, Y., 2021. Conformal prediction interval for dynamic time-series. In: </w:t>
      </w:r>
      <w:r>
        <w:rPr>
          <w:i/>
        </w:rPr>
        <w:t>Proceedings of the 38th International Conference on Machine Learning (ICML)</w:t>
      </w:r>
      <w:r>
        <w:t>, PMLR 139.</w:t>
      </w:r>
    </w:p>
    <w:p w14:paraId="2A061861" w14:textId="77777777" w:rsidR="008A3CB1" w:rsidRDefault="008A3CB1" w:rsidP="008A3CB1">
      <w:pPr>
        <w:spacing w:line="36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46E21502" w14:textId="77777777" w:rsidR="008A3CB1" w:rsidRDefault="008A3CB1" w:rsidP="008A3CB1">
      <w:pPr>
        <w:spacing w:line="360" w:lineRule="auto"/>
        <w:ind w:left="567" w:hanging="567"/>
        <w:jc w:val="left"/>
      </w:pPr>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2560ECC0" w:rsidR="001350DB" w:rsidRPr="008A3CB1" w:rsidRDefault="008A3CB1" w:rsidP="00EF06BE">
      <w:pPr>
        <w:spacing w:line="360" w:lineRule="auto"/>
        <w:ind w:left="567" w:hanging="567"/>
        <w:jc w:val="left"/>
      </w:pPr>
      <w:r>
        <w:lastRenderedPageBreak/>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rsidRPr="008A3CB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BA7EF" w14:textId="77777777" w:rsidR="009001F5" w:rsidRDefault="009001F5">
      <w:r>
        <w:separator/>
      </w:r>
    </w:p>
  </w:endnote>
  <w:endnote w:type="continuationSeparator" w:id="0">
    <w:p w14:paraId="337D7D90" w14:textId="77777777" w:rsidR="009001F5" w:rsidRDefault="00900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293D" w14:textId="77777777" w:rsidR="009001F5" w:rsidRDefault="009001F5">
      <w:r>
        <w:separator/>
      </w:r>
    </w:p>
  </w:footnote>
  <w:footnote w:type="continuationSeparator" w:id="0">
    <w:p w14:paraId="715AF4F0" w14:textId="77777777" w:rsidR="009001F5" w:rsidRDefault="009001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725DA"/>
    <w:rsid w:val="005808B1"/>
    <w:rsid w:val="0058627D"/>
    <w:rsid w:val="00590D07"/>
    <w:rsid w:val="00591BF3"/>
    <w:rsid w:val="0059202A"/>
    <w:rsid w:val="005F12B6"/>
    <w:rsid w:val="006C6E53"/>
    <w:rsid w:val="00755AB9"/>
    <w:rsid w:val="00782DE2"/>
    <w:rsid w:val="00784D58"/>
    <w:rsid w:val="00787B48"/>
    <w:rsid w:val="007F4343"/>
    <w:rsid w:val="008A3CB1"/>
    <w:rsid w:val="008D6863"/>
    <w:rsid w:val="009001F5"/>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EF06BE"/>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Heading1Char">
    <w:name w:val="Heading 1 Char"/>
    <w:basedOn w:val="DefaultParagraphFont"/>
    <w:link w:val="Heading1"/>
    <w:uiPriority w:val="9"/>
    <w:rsid w:val="008A3CB1"/>
    <w:rPr>
      <w:b/>
      <w:bCs/>
      <w:color w:val="000000"/>
      <w:sz w:val="36"/>
      <w:szCs w:val="36"/>
    </w:rPr>
  </w:style>
  <w:style w:type="character" w:customStyle="1" w:styleId="Heading2Char">
    <w:name w:val="Heading 2 Char"/>
    <w:basedOn w:val="DefaultParagraphFont"/>
    <w:link w:val="Heading2"/>
    <w:uiPriority w:val="9"/>
    <w:rsid w:val="008A3CB1"/>
    <w:rPr>
      <w:b/>
      <w:bCs/>
      <w:color w:val="000000"/>
      <w:sz w:val="28"/>
      <w:szCs w:val="28"/>
    </w:rPr>
  </w:style>
  <w:style w:type="paragraph" w:styleId="Caption">
    <w:name w:val="caption"/>
    <w:basedOn w:val="Normal"/>
    <w:next w:val="Normal"/>
    <w:uiPriority w:val="35"/>
    <w:unhideWhenUsed/>
    <w:qFormat/>
    <w:pPr>
      <w:spacing w:after="200" w:line="240" w:lineRule="auto"/>
    </w:pPr>
    <w:rPr>
      <w:i/>
      <w:iCs/>
      <w:color w:val="44546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7100</Words>
  <Characters>40473</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37</cp:revision>
  <dcterms:created xsi:type="dcterms:W3CDTF">2026-06-30T00:45:00Z</dcterms:created>
  <dcterms:modified xsi:type="dcterms:W3CDTF">2026-08-19T00:32:00Z</dcterms:modified>
</cp:coreProperties>
</file>