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t xml:space="preserve">The paradigm is a controlled comparative evaluation. Chapter 2 found the gap to be one of integration rather than invention, its four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t xml:space="preserve">Figure 3.1 shows the pipeline: Sections 3.2 to 3.5 specify its first five stages and Section 3.7 the sixth, with Section 3.6 governing their refit cadence. The target is realised variance rather than realised volatility, every loss computed on the variance scale, and Table 3.1 fixes each model's role, Appendix C.1 the symbols used throughout, and Appendix C.2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pStyle w:val="Caption"/>
      </w:pPr>
      <w: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pStyle w:val="Caption"/>
      </w:pPr>
      <w:r>
        <w:t xml:space="preserve">Figure 3.1. The forecasting pipeline. Solid arrows carry data, dashed arrows the regime signal, estimated on the training window only. The bracket marks the stages run at every forecast origin, and each estimation box states its own refit cadence, which differs by model family for the reasons given in Section 3.6. The econometric baselines state no predictive law, so Stage 5 produces nothing for them and only the network path reaches the interval criteria; Section 3.9 re-runs the pipeline on two further markets without it.</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t xml:space="preserve">	(3.1)</w:t>
      </w:r>
    </w:p>
    <w:p>
      <w:pPr>
        <w:spacing w:after="160" w:line="320"/>
        <w:jc w:val="both"/>
      </w:pPr>
      <w:r>
        <w:t xml:space="preserve">where </w:t>
      </w:r>
      <w:r>
        <w:rPr>
          <w:i/>
          <w:iCs/>
        </w:rPr>
        <w:t xml:space="preserve">P</w:t>
      </w:r>
      <w:r>
        <w:rPr>
          <w:i/>
          <w:iCs/>
          <w:sz w:val="19"/>
          <w:szCs w:val="19"/>
          <w:vertAlign w:val="subscript"/>
        </w:rPr>
        <w:t xml:space="preserve">t,i</w:t>
      </w:r>
      <w:r>
        <w:t xml:space="preserve"> is the </w:t>
      </w:r>
      <w:r>
        <w:rPr>
          <w:i/>
          <w:iCs/>
        </w:rPr>
        <w:t xml:space="preserve">i</w:t>
      </w:r>
      <w:r>
        <w:t xml:space="preserve">-th price on day </w:t>
      </w:r>
      <w:r>
        <w:rPr>
          <w:i/>
          <w:iCs/>
        </w:rPr>
        <w:t xml:space="preserve">t</w:t>
      </w:r>
      <w:r>
        <w:t xml:space="preserve"> on a fixed grid of </w:t>
      </w:r>
      <w:r>
        <w:rPr>
          <w:i/>
          <w:iCs/>
        </w:rPr>
        <w:t xml:space="preserve">M</w:t>
      </w:r>
      <w:r>
        <w:t xml:space="preserve"> intervals, </w:t>
      </w:r>
      <w:r>
        <w:rPr>
          <w:i/>
          <w:iCs/>
        </w:rPr>
        <w:t xml:space="preserve">r</w:t>
      </w:r>
      <w:r>
        <w:rPr>
          <w:i/>
          <w:iCs/>
          <w:sz w:val="19"/>
          <w:szCs w:val="19"/>
          <w:vertAlign w:val="subscript"/>
        </w:rPr>
        <w:t xml:space="preserve">t,i</w:t>
      </w:r>
      <w:r>
        <w:t xml:space="preserve"> the corresponding intraday log return, and </w:t>
      </w:r>
      <w:r>
        <w:rPr>
          <w:i/>
          <w:iCs/>
        </w:rPr>
        <w:t xml:space="preserve">RV</w:t>
      </w:r>
      <w:r>
        <w:rPr>
          <w:i/>
          <w:iCs/>
          <w:sz w:val="19"/>
          <w:szCs w:val="19"/>
          <w:vertAlign w:val="subscript"/>
        </w:rPr>
        <w:t xml:space="preserve">t</w:t>
      </w:r>
      <w:r>
        <w:t xml:space="preserve"> the realised variance of day </w:t>
      </w:r>
      <w:r>
        <w:rPr>
          <w:i/>
          <w:iCs/>
        </w:rPr>
        <w:t xml:space="preserve">t</w:t>
      </w:r>
      <w: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pStyle w:val="Caption"/>
      </w:pPr>
      <w: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With close, the open-to-close return the baselines and networks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color w:val="444444"/>
                <w:sz w:val="18"/>
                <w:szCs w:val="18"/>
              </w:rPr>
              <w:t xml:space="preserve">, all ending at </w:t>
            </w:r>
            <w:r>
              <w:rPr>
                <w:rFonts w:ascii="Calibri" w:cs="Calibri" w:eastAsia="Calibri" w:hAnsi="Calibri"/>
                <w:b w:val="false"/>
                <w:bCs w:val="false"/>
                <w:i/>
                <w:iCs/>
                <w:color w:val="444444"/>
                <w:sz w:val="18"/>
                <w:szCs w:val="18"/>
              </w:rPr>
              <w:t xml:space="preserve">t</w:t>
            </w:r>
            <w:r>
              <w:rPr>
                <w:rFonts w:ascii="Calibri" w:cs="Calibri" w:eastAsia="Calibri" w:hAnsi="Calibri"/>
                <w:b w:val="false"/>
                <w:bCs w:val="false"/>
                <w:color w:val="444444"/>
                <w:sz w:val="18"/>
                <w:szCs w:val="18"/>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color w:val="444444"/>
          <w:sz w:val="18"/>
          <w:szCs w:val="18"/>
        </w:rPr>
        <w:t xml:space="preserve">Minimum history: 22 + </w:t>
      </w:r>
      <w:r>
        <w:rPr>
          <w:i/>
          <w:iCs/>
          <w:color w:val="444444"/>
          <w:sz w:val="18"/>
          <w:szCs w:val="18"/>
        </w:rPr>
        <w:t xml:space="preserve">L</w:t>
      </w:r>
      <w:r>
        <w:rPr>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spacing w:after="260" w:line="280"/>
      </w:pPr>
      <w:r>
        <w:rPr>
          <w:color w:val="444444"/>
          <w:sz w:val="18"/>
          <w:szCs w:val="18"/>
        </w:rPr>
        <w:t xml:space="preserve">Assembly is deterministic and part of the specification. The sources are joined on the trading calendar by intersection, so the frame holds only days present in all of them and the rows lost to that join are reported rather than absorbed; non-positive and non-finite observations are dropped with the rest of their row, the target being undefined in logs. The realised measure and any positive auxiliary series enter the networks in logs, a quantity spanning several orders of magnitude being poorly matched to a squared-error objective, and every standardiser is estimated on training rows alone.</w:t>
      </w:r>
    </w:p>
    <w:p>
      <w:pPr>
        <w:spacing w:after="260" w:line="280"/>
      </w:pPr>
      <w:r>
        <w:rPr>
          <w:color w:val="444444"/>
          <w:sz w:val="18"/>
          <w:szCs w:val="18"/>
        </w:rPr>
        <w:t xml:space="preserve">One day fixes both input and output. On 16 March 2020 the required fields read date 2020-03-16, realised variance 0.00412 from five-minute returns, close 2386.13, open 2508.59 and, optionally, an implied-volatility index at 82.69; the derived fields follow by the rules above. For that day the method returns one variance forecast formed at the previous close and, for the models of Section 3.5, an interval at a stated level.</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t xml:space="preserve">This stage produces the regime signal of Table 3.1: for every trading day, a distribution over </w:t>
      </w:r>
      <w:r>
        <w:rPr>
          <w:i/>
          <w:iCs/>
        </w:rPr>
        <w:t xml:space="preserve">K</w:t>
      </w:r>
      <w: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i/>
          <w:iCs/>
        </w:rPr>
        <w:t xml:space="preserve">s</w:t>
      </w:r>
      <w:r>
        <w:rPr>
          <w:i/>
          <w:iCs/>
          <w:sz w:val="19"/>
          <w:szCs w:val="19"/>
          <w:vertAlign w:val="subscript"/>
        </w:rPr>
        <w:t xml:space="preserve">t</w:t>
      </w:r>
      <w:r>
        <w:t xml:space="preserve">} and parameters {</w:t>
      </w:r>
      <w:r>
        <w:rPr>
          <w:i/>
          <w:iCs/>
        </w:rPr>
        <w:t xml:space="preserve">θ</w:t>
      </w:r>
      <w:r>
        <w:rPr>
          <w:i/>
          <w:iCs/>
          <w:sz w:val="19"/>
          <w:szCs w:val="19"/>
          <w:vertAlign w:val="subscript"/>
        </w:rPr>
        <w:t xml:space="preserve">k</w:t>
      </w:r>
      <w:r>
        <w:t xml:space="preserve">}, it minimises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t xml:space="preserve">	(3.2)</w:t>
      </w:r>
    </w:p>
    <w:p>
      <w:pPr>
        <w:spacing w:after="160" w:line="320"/>
        <w:jc w:val="both"/>
      </w:pPr>
      <w:r>
        <w:t xml:space="preserve">where </w:t>
      </w:r>
      <w:r>
        <w:rPr>
          <w:i/>
          <w:iCs/>
        </w:rPr>
        <w:t>z</w:t>
      </w:r>
      <w:r>
        <w:rPr>
          <w:i/>
          <w:iCs/>
          <w:sz w:val="19"/>
          <w:szCs w:val="19"/>
          <w:vertAlign w:val="subscript"/>
        </w:rPr>
        <w:t xml:space="preserve">t</w:t>
      </w:r>
      <w:r>
        <w:t xml:space="preserve"> is the standardised regime feature vector on day </w:t>
      </w:r>
      <w:r>
        <w:rPr>
          <w:i/>
          <w:iCs/>
        </w:rPr>
        <w:t xml:space="preserve">t</w:t>
      </w:r>
      <w:r>
        <w:t xml:space="preserve">, </w:t>
      </w:r>
      <w:r>
        <w:rPr>
          <w:i/>
          <w:iCs/>
        </w:rPr>
        <w:t xml:space="preserve">T</w:t>
      </w:r>
      <w:r>
        <w:t xml:space="preserve"> the number of days in the estimation window, </w:t>
      </w:r>
      <w:r>
        <w:rPr>
          <w:i/>
          <w:iCs/>
        </w:rPr>
        <w:t xml:space="preserve">s</w:t>
      </w:r>
      <w:r>
        <w:rPr>
          <w:i/>
          <w:iCs/>
          <w:sz w:val="19"/>
          <w:szCs w:val="19"/>
          <w:vertAlign w:val="subscript"/>
        </w:rPr>
        <w:t xml:space="preserve">t</w:t>
      </w:r>
      <w:r>
        <w:t xml:space="preserve"> ∈ {1, …, </w:t>
      </w:r>
      <w:r>
        <w:rPr>
          <w:i/>
          <w:iCs/>
        </w:rPr>
        <w:t xml:space="preserve">K</w:t>
      </w:r>
      <w:r>
        <w:t xml:space="preserve">} its state, </w:t>
      </w:r>
      <w:r>
        <w:rPr>
          <w:i/>
          <w:iCs/>
        </w:rPr>
        <w:t xml:space="preserve">θ</w:t>
      </w:r>
      <w:r>
        <w:rPr>
          <w:i/>
          <w:iCs/>
          <w:sz w:val="19"/>
          <w:szCs w:val="19"/>
          <w:vertAlign w:val="subscript"/>
        </w:rPr>
        <w:t xml:space="preserve">k</w:t>
      </w:r>
      <w:r>
        <w:t xml:space="preserve"> the Gaussian mean and covariance of state </w:t>
      </w:r>
      <w:r>
        <w:rPr>
          <w:i/>
          <w:iCs/>
        </w:rPr>
        <w:t xml:space="preserve">k</w:t>
      </w:r>
      <w:r>
        <w:t xml:space="preserve">, </w:t>
      </w:r>
      <w:r>
        <w:rPr>
          <w:i/>
          <w:iCs/>
        </w:rPr>
        <w:t>c</w:t>
      </w:r>
      <w:r>
        <w:t xml:space="preserve"> the Gaussian negative log-likelihood, 1{·} the indicator and </w:t>
      </w:r>
      <w:r>
        <w:rPr>
          <w:i/>
          <w:iCs/>
        </w:rPr>
        <w:t xml:space="preserve">λ</w:t>
      </w:r>
      <w:r>
        <w:t xml:space="preserve"> ≥ 0 the penalty charged whenever the state changes. The feature vector is deliberately minimal — the daily close-to-close log return, standardised on training rows only — which is the simple Gaussian emission Section 2.4 argues for. The penalty carries the argument: at </w:t>
      </w:r>
      <w:r>
        <w:rPr>
          <w:i/>
          <w:iCs/>
        </w:rPr>
        <w:t xml:space="preserve">λ</w:t>
      </w:r>
      <w:r>
        <w:t xml:space="preserve"> = 0 the objective is atemporal clustering, and as </w:t>
      </w:r>
      <w:r>
        <w:rPr>
          <w:i/>
          <w:iCs/>
        </w:rPr>
        <w:t xml:space="preserve">λ</w:t>
      </w:r>
      <w:r>
        <w:t xml:space="preserve"> grows the fit buys persistence at the cost of responsiveness. Coordinate descent minimises it from several random initialisations, the objective being non-convex in the state path, and the best fit is kept; that path then serves as a route to an HMM, whose forward filter yields the filtered posterior </w:t>
      </w:r>
      <w:r>
        <w:rPr>
          <w:i/>
          <w:iCs/>
        </w:rPr>
        <w:t xml:space="preserve">ξ</w:t>
      </w:r>
      <w:r>
        <w:rPr>
          <w:i/>
          <w:iCs/>
          <w:sz w:val="19"/>
          <w:szCs w:val="19"/>
          <w:vertAlign w:val="subscript"/>
        </w:rPr>
        <w:t xml:space="preserve">t</w:t>
      </w:r>
      <w:r>
        <w:t xml:space="preserve"> = </w:t>
      </w:r>
      <w:r>
        <w:rPr>
          <w:i/>
          <w:iCs/>
        </w:rPr>
        <w:t xml:space="preserve">P(s</w:t>
      </w:r>
      <w:r>
        <w:rPr>
          <w:i/>
          <w:iCs/>
          <w:sz w:val="19"/>
          <w:szCs w:val="19"/>
          <w:vertAlign w:val="subscript"/>
        </w:rPr>
        <w:t xml:space="preserve">t</w:t>
      </w:r>
      <w:r>
        <w:rPr>
          <w:i/>
          <w:iCs/>
        </w:rPr>
        <w:t xml:space="preserve"> | z</w:t>
      </w:r>
      <w:r>
        <w:rPr>
          <w:i/>
          <w:iCs/>
          <w:sz w:val="19"/>
          <w:szCs w:val="19"/>
          <w:vertAlign w:val="subscript"/>
        </w:rPr>
        <w:t xml:space="preserve">1</w:t>
      </w:r>
      <w:r>
        <w:rPr>
          <w:i/>
          <w:iCs/>
        </w:rPr>
        <w:t>, …, z</w:t>
      </w:r>
      <w:r>
        <w:rPr>
          <w:i/>
          <w:iCs/>
          <w:sz w:val="19"/>
          <w:szCs w:val="19"/>
          <w:vertAlign w:val="subscript"/>
        </w:rPr>
        <w:t xml:space="preserve">t</w:t>
      </w:r>
      <w:r>
        <w:rPr>
          <w:i/>
          <w:iCs/>
        </w:rPr>
        <w:t xml:space="preserve">)</w:t>
      </w:r>
      <w: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t>The state count is fixed rather than fitted: three states — calm, transitional and crisis — are set in advance on the interpretability grounds of Section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t xml:space="preserve">Likelihood cannot select the penalty, always preferring </w:t>
      </w:r>
      <w:r>
        <w:rPr>
          <w:i/>
          <w:iCs/>
        </w:rPr>
        <w:t xml:space="preserve">λ</w:t>
      </w:r>
      <w:r>
        <w:t xml:space="preserve"> → 0 and so returning the pathology it exists to remove. Selection applies a stated rule to a stated grid — the smallest </w:t>
      </w:r>
      <w:r>
        <w:rPr>
          <w:i/>
          <w:iCs/>
        </w:rPr>
        <w:t xml:space="preserve">λ</w:t>
      </w:r>
      <w:r>
        <w:t xml:space="preserve"> whose mean regime duration clears a persistence floor, on training rows only — with grid, floor and rule fixed before any downstream result existed, so the penalty cannot be tuned to the answer; a finer sweep is published so the grid's influence is visible. Appendix C.3 records both grids, the floor and the rule that selects from them.</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t>What varies across the models of Table 3.1 is the information each may use and the form each may take, one at a time. Three econometric baselines each close off a competing explanation, alongside a reference floor; Table 3.3 states what each rules out.</w:t>
      </w:r>
    </w:p>
    <w:p>
      <w:pPr>
        <w:pStyle w:val="Caption"/>
      </w:pPr>
      <w:r>
        <w:t xml:space="preserve">Table 3.3  The baseline set and what each is there to rule out. The conditional-variance models take open-to-close returns, as do the networks of Section 3.4,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t xml:space="preserve">The deep architecture is a long short-term memory network (Hochreiter and Schmidhuber, 1997), for the reason Section 2.5 sets out: gated recurrence imposes a strong temporal inductive bias suited to the modest effective sample sizes of daily financial data, whereas attention (Vaswani et al., 2017; Lim et al., 2021) is data-hungry at exactly that sample size and recent benchmarks find simple recurrent models matching it (Zeng et al., 2023). The claim is not that attention cannot work here, only that at this sample size it is the weaker prior. Each network passes a window of the previous L trading days through one recurrent layer to a linear output, estimated by mean squared error on standardised log realised variance.</w:t>
      </w:r>
      <w:r>
        <w:rPr>
          <w:i/>
          <w:iCs/>
        </w:rPr>
        <w:t xml:space="preserve">L</w:t>
      </w:r>
      <w:r>
        <w:t xml:space="preserve"> trading days through one recurrent layer to a linear output, estimated by mean squared error on standardised log realised variance.</w:t>
      </w:r>
    </w:p>
    <w:p>
      <w:pPr>
        <w:spacing w:after="160" w:line="320"/>
        <w:jc w:val="both"/>
      </w:pPr>
      <w: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t xml:space="preserve">	(3.3)</w:t>
      </w:r>
    </w:p>
    <w:p>
      <w:pPr>
        <w:spacing w:after="160" w:line="320"/>
        <w:jc w:val="both"/>
      </w:pPr>
      <w:r>
        <w:t xml:space="preserve">where </w:t>
      </w:r>
      <w:r>
        <w:rPr>
          <w:i/>
          <w:iCs/>
        </w:rPr>
        <w:t xml:space="preserve">f</w:t>
      </w:r>
      <w:r>
        <w:rPr>
          <w:i/>
          <w:iCs/>
          <w:sz w:val="19"/>
          <w:szCs w:val="19"/>
          <w:vertAlign w:val="subscript"/>
        </w:rPr>
        <w:t xml:space="preserve">k</w:t>
      </w:r>
      <w:r>
        <w:t xml:space="preserve"> is the </w:t>
      </w:r>
      <w:r>
        <w:rPr>
          <w:i/>
          <w:iCs/>
        </w:rPr>
        <w:t xml:space="preserve">k</w:t>
      </w:r>
      <w:r>
        <w:t xml:space="preserve">-th expert, </w:t>
      </w:r>
      <w:r>
        <w:rPr>
          <w:i/>
          <w:iCs/>
        </w:rPr>
        <w:t xml:space="preserve">x</w:t>
      </w:r>
      <w:r>
        <w:t xml:space="preserve"> the network's input window of </w:t>
      </w:r>
      <w:r>
        <w:rPr>
          <w:i/>
          <w:iCs/>
        </w:rPr>
        <w:t xml:space="preserve">L</w:t>
      </w:r>
      <w:r>
        <w:t xml:space="preserve"> days ending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the mixture returns, and </w:t>
      </w:r>
      <w:r>
        <w:rPr>
          <w:i/>
          <w:iCs/>
        </w:rPr>
        <w:t xml:space="preserve">g</w:t>
      </w:r>
      <w:r>
        <w:rPr>
          <w:i/>
          <w:iCs/>
          <w:sz w:val="19"/>
          <w:szCs w:val="19"/>
          <w:vertAlign w:val="subscript"/>
        </w:rPr>
        <w:t xml:space="preserve">k,t</w:t>
      </w:r>
      <w:r>
        <w:t xml:space="preserve"> the gate weight on expert </w:t>
      </w:r>
      <w:r>
        <w:rPr>
          <w:i/>
          <w:iCs/>
        </w:rPr>
        <w:t xml:space="preserve">k</w:t>
      </w:r>
      <w:r>
        <w:t xml:space="preserve"> for day </w:t>
      </w:r>
      <w:r>
        <w:rPr>
          <w:i/>
          <w:iCs/>
        </w:rPr>
        <w:t xml:space="preserve">t</w:t>
      </w:r>
      <w:r>
        <w:t xml:space="preserve">, taken as the k-th element of the filtered posterior of Section 3.3 at </w:t>
      </w:r>
      <w:r>
        <w:rPr>
          <w:i/>
          <w:iCs/>
        </w:rPr>
        <w:t xml:space="preserve">t</w:t>
      </w:r>
      <w: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t xml:space="preserve">The gate also enters training, as a weight rather than a partition: every expert sees every window, weighted by its own gate, so expert </w:t>
      </w:r>
      <w:r>
        <w:rPr>
          <w:i/>
        </w:rPr>
        <w:t>k</w:t>
      </w:r>
      <w:r>
        <w:t xml:space="preserve"> minimises the weighted objective of Equation 3.3b</w:t>
      </w:r>
    </w:p>
    <w:p>
      <w:pPr>
        <w:tabs>
          <w:tab w:pos="4513" w:val="center"/>
          <w:tab w:pos="9026" w:val="right"/>
        </w:tabs>
        <w:spacing w:after="220" w:line="320" w:lineRule="auto"/>
      </w:pPr>
      <w: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tab/>
        <w:t>(3.3b)</w:t>
      </w:r>
    </w:p>
    <w:p>
      <w:pPr>
        <w:spacing w:after="160" w:line="320" w:lineRule="auto"/>
        <w:jc w:val="both"/>
      </w:pPr>
      <w:r>
        <w:t xml:space="preserve">where </w:t>
      </w:r>
      <w:r>
        <w:rPr>
          <w:i/>
        </w:rPr>
        <w:t>J</w:t>
      </w:r>
      <w:r>
        <w:rPr>
          <w:i/>
          <w:sz w:val="19"/>
          <w:vertAlign w:val="subscript"/>
        </w:rPr>
        <w:t>k</w:t>
      </w:r>
      <w:r>
        <w:t xml:space="preserve"> is expert </w:t>
      </w:r>
      <w:r>
        <w:rPr>
          <w:i/>
        </w:rPr>
        <w:t>k</w:t>
      </w:r>
      <w:r>
        <w:t xml:space="preserve">'s training objective, </w:t>
      </w:r>
      <w:r>
        <w:rPr>
          <w:i/>
        </w:rPr>
        <w:t>y</w:t>
      </w:r>
      <w:r>
        <w:rPr>
          <w:i/>
          <w:sz w:val="19"/>
          <w:vertAlign w:val="subscript"/>
        </w:rPr>
        <w:t>t</w:t>
      </w:r>
      <w:r>
        <w:t xml:space="preserve"> the log realised variance of day </w:t>
      </w:r>
      <w:r>
        <w:rPr>
          <w:i/>
        </w:rPr>
        <w:t>t</w:t>
      </w:r>
      <w:r>
        <w:t xml:space="preserve"> on the standardised scale the networks are fitted on, </w:t>
      </w:r>
      <w:r>
        <w:rPr>
          <w:i/>
        </w:rPr>
        <w:t>w</w:t>
      </w:r>
      <w:r>
        <w:rPr>
          <w:i/>
          <w:sz w:val="19"/>
          <w:vertAlign w:val="subscript"/>
        </w:rPr>
        <w:t>k,t</w:t>
      </w:r>
      <w:r>
        <w:t xml:space="preserve"> the gate weight of Equation 3.3 renormalised over the training windows, and </w:t>
      </w:r>
      <w:r>
        <w:rPr>
          <w:i/>
        </w:rPr>
        <w:t>t′</w:t>
      </w:r>
      <w:r>
        <w:t xml:space="preserve"> indexes those windows. Each day therefore contributes to every expert in proportion to how strongly its state was believed active at </w:t>
      </w:r>
      <w:r>
        <w:rPr>
          <w:i/>
        </w:rPr>
        <w:t>t</w:t>
      </w:r>
      <w:r>
        <w:t>−1, so the expert for the crisis state is not confined to crisis days but weights them most heavily; and Equation 3.4 below takes its residual variance from the mixture rather than from any single expert.</w:t>
      </w:r>
    </w:p>
    <w:p>
      <w:pPr>
        <w:spacing w:after="160" w:line="320"/>
        <w:jc w:val="both"/>
      </w:pPr>
      <w: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t xml:space="preserve">	(3.4)</w:t>
      </w:r>
    </w:p>
    <w:p>
      <w:pPr>
        <w:spacing w:after="160" w:line="320"/>
        <w:jc w:val="both"/>
      </w:pPr>
      <w:r>
        <w:t xml:space="preserve">where </w:t>
      </w:r>
      <w:r>
        <w:rPr>
          <w:i/>
          <w:iCs/>
        </w:rPr>
        <w:t>ĥ</w:t>
      </w:r>
      <w:r>
        <w:rPr>
          <w:i/>
          <w:iCs/>
          <w:sz w:val="19"/>
          <w:szCs w:val="19"/>
          <w:vertAlign w:val="subscript"/>
        </w:rPr>
        <w:t>t</w:t>
      </w:r>
      <w:r>
        <w:t xml:space="preserve"> is the variance forecast of </w:t>
      </w:r>
      <w:r>
        <w:rPr>
          <w:i/>
          <w:iCs/>
        </w:rPr>
        <w:t xml:space="preserve">RV</w:t>
      </w:r>
      <w:r>
        <w:rPr>
          <w:i/>
          <w:iCs/>
          <w:sz w:val="19"/>
          <w:szCs w:val="19"/>
          <w:vertAlign w:val="subscript"/>
        </w:rPr>
        <w:t xml:space="preserve">t</w:t>
      </w:r>
      <w:r>
        <w:t xml:space="preserve"> formed at </w:t>
      </w:r>
      <w:r>
        <w:rPr>
          <w:i/>
          <w:iCs/>
        </w:rPr>
        <w:t xml:space="preserve">t</w:t>
      </w:r>
      <w:r>
        <w:t xml:space="preserve">−1, </w:t>
      </w:r>
      <w:r>
        <w:rPr>
          <w:i/>
          <w:iCs/>
        </w:rPr>
        <w:t xml:space="preserve">μ̂</w:t>
      </w:r>
      <w:r>
        <w:rPr>
          <w:i/>
          <w:iCs/>
          <w:sz w:val="19"/>
          <w:szCs w:val="19"/>
          <w:vertAlign w:val="subscript"/>
        </w:rPr>
        <w:t xml:space="preserve">t</w:t>
      </w:r>
      <w:r>
        <w:t xml:space="preserve"> the fitted conditional mean of log realised variance, and </w:t>
      </w:r>
      <w:r>
        <w:rPr>
          <w:i/>
          <w:iCs/>
        </w:rPr>
        <w:t xml:space="preserve">σ̂</w:t>
      </w:r>
      <w:r>
        <w:rPr>
          <w:i/>
          <w:iCs/>
          <w:sz w:val="19"/>
          <w:szCs w:val="19"/>
          <w:vertAlign w:val="superscript"/>
        </w:rPr>
        <w:t xml:space="preserve">2</w:t>
      </w:r>
      <w: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t>Appendix C.2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t xml:space="preserve">The primary method is Monte Carlo dropout (Gal and Ghahramani, 2016). Training is unchanged from Section 3.4, so the fitted weights are the point model's; only inference changes, the dropout staying active while the network runs </w:t>
      </w:r>
      <w:r>
        <w:rPr>
          <w:i/>
          <w:iCs/>
        </w:rPr>
        <w:t>B</w:t>
      </w:r>
      <w: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t xml:space="preserve">	(3.5)</w:t>
      </w:r>
    </w:p>
    <w:p>
      <w:pPr>
        <w:spacing w:after="160" w:line="320"/>
        <w:jc w:val="both"/>
      </w:pPr>
      <w:r>
        <w:t xml:space="preserve">where </w:t>
      </w:r>
      <w:r>
        <w:rPr>
          <w:i/>
          <w:iCs/>
        </w:rPr>
        <w:t xml:space="preserve">B</w:t>
      </w:r>
      <w:r>
        <w:t xml:space="preserve"> is the number of stochastic passes, </w:t>
      </w:r>
      <w:r>
        <w:rPr>
          <w:i/>
          <w:iCs/>
        </w:rPr>
        <w:t xml:space="preserve">m</w:t>
      </w:r>
      <w:r>
        <w:rPr>
          <w:i/>
          <w:iCs/>
          <w:sz w:val="19"/>
          <w:szCs w:val="19"/>
          <w:vertAlign w:val="subscript"/>
        </w:rPr>
        <w:t xml:space="preserve">t,j</w:t>
      </w:r>
      <w:r>
        <w:t xml:space="preserve"> the log-variance output of the </w:t>
      </w:r>
      <w:r>
        <w:rPr>
          <w:i/>
          <w:iCs/>
        </w:rPr>
        <w:t xml:space="preserve">j</w:t>
      </w:r>
      <w:r>
        <w:t xml:space="preserve">-th pass on day </w:t>
      </w:r>
      <w:r>
        <w:rPr>
          <w:i/>
          <w:iCs/>
        </w:rPr>
        <w:t xml:space="preserve">t</w:t>
      </w:r>
      <w:r>
        <w:t xml:space="preserve">, </w:t>
      </w:r>
      <w:r>
        <w:rPr>
          <w:i/>
          <w:iCs/>
        </w:rPr>
        <w:t xml:space="preserve">μ̂</w:t>
      </w:r>
      <w:r>
        <w:rPr>
          <w:i/>
          <w:iCs/>
          <w:sz w:val="19"/>
          <w:szCs w:val="19"/>
          <w:vertAlign w:val="subscript"/>
        </w:rPr>
        <w:t xml:space="preserve">t</w:t>
      </w:r>
      <w:r>
        <w:t xml:space="preserve"> the predictive mean, </w:t>
      </w:r>
      <w:r>
        <w:rPr>
          <w:i/>
          <w:iCs/>
        </w:rPr>
        <w:t xml:space="preserve">σ̂</w:t>
      </w:r>
      <w:r>
        <w:rPr>
          <w:i/>
          <w:iCs/>
          <w:sz w:val="19"/>
          <w:szCs w:val="19"/>
          <w:vertAlign w:val="subscript"/>
        </w:rPr>
        <w:t xml:space="preserve">t</w:t>
      </w:r>
      <w:r>
        <w:rPr>
          <w:i/>
          <w:iCs/>
          <w:sz w:val="19"/>
          <w:szCs w:val="19"/>
          <w:vertAlign w:val="superscript"/>
        </w:rPr>
        <w:t xml:space="preserve">2</w:t>
      </w:r>
      <w:r>
        <w:t xml:space="preserve"> the total predictive variance, its first term the epistemic component, and </w:t>
      </w:r>
      <w:r>
        <w:rPr>
          <w:i/>
          <w:iCs/>
        </w:rPr>
        <w:t xml:space="preserve">σ̂</w:t>
      </w:r>
      <w:r>
        <w:rPr>
          <w:i/>
          <w:iCs/>
          <w:sz w:val="19"/>
          <w:szCs w:val="19"/>
          <w:vertAlign w:val="superscript"/>
        </w:rPr>
        <w:t xml:space="preserve">2</w:t>
      </w:r>
      <w: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t xml:space="preserve"> Equation 3.4 then returns the forecast to the variance scale, with </w:t>
      </w:r>
      <w:r>
        <w:rPr>
          <w:i/>
        </w:rPr>
        <w:t>σ̂</w:t>
      </w:r>
      <w:r>
        <w:rPr>
          <w:i/>
          <w:sz w:val="19"/>
          <w:vertAlign w:val="subscript"/>
        </w:rPr>
        <w:t>t</w:t>
      </w:r>
      <w:r>
        <w:rPr>
          <w:i/>
          <w:sz w:val="19"/>
          <w:vertAlign w:val="superscript"/>
        </w:rPr>
        <w:t>2</w:t>
      </w:r>
      <w:r>
        <w:t xml:space="preserve"> in place of </w:t>
      </w:r>
      <w:r>
        <w:rPr>
          <w:i/>
        </w:rPr>
        <w:t>σ̂</w:t>
      </w:r>
      <w:r>
        <w:rPr>
          <w:i/>
          <w:sz w:val="19"/>
          <w:vertAlign w:val="superscript"/>
        </w:rPr>
        <w:t>2</w:t>
      </w:r>
      <w:r>
        <w:t xml:space="preserve">, so </w:t>
      </w:r>
      <w:r>
        <w:rPr>
          <w:i/>
        </w:rPr>
        <w:t>ĥ</w:t>
      </w:r>
      <w:r>
        <w:rPr>
          <w:i/>
          <w:sz w:val="19"/>
          <w:vertAlign w:val="subscript"/>
        </w:rPr>
        <w:t>t</w:t>
      </w:r>
      <w:r>
        <w:t xml:space="preserve"> = exp(</w:t>
      </w:r>
      <w:r>
        <w:rPr>
          <w:i/>
        </w:rPr>
        <w:t>μ̂</w:t>
      </w:r>
      <w:r>
        <w:rPr>
          <w:i/>
          <w:sz w:val="19"/>
          <w:vertAlign w:val="subscript"/>
        </w:rPr>
        <w:t>t</w:t>
      </w:r>
      <w:r>
        <w:t xml:space="preserve"> + ½ </w:t>
      </w:r>
      <w:r>
        <w:rPr>
          <w:i/>
        </w:rPr>
        <w:t>σ̂</w:t>
      </w:r>
      <w:r>
        <w:rPr>
          <w:i/>
          <w:sz w:val="19"/>
          <w:vertAlign w:val="subscript"/>
        </w:rPr>
        <w:t>t</w:t>
      </w:r>
      <w:r>
        <w:rPr>
          <w:i/>
          <w:sz w:val="19"/>
          <w:vertAlign w:val="superscript"/>
        </w:rPr>
        <w:t>2</w:t>
      </w:r>
      <w:r>
        <w:t>).</w:t>
      </w:r>
    </w:p>
    <w:p>
      <w:pPr>
        <w:spacing w:after="160" w:line="320"/>
        <w:jc w:val="both"/>
      </w:pPr>
      <w: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C.2. A third specification, LSTM-Gaussian in Appendix C.2, is the same network's deterministic forecast with an aleatoric-only interval, isolating what the passes buy. Hyperparameters stay at the Section 3.6 values.</w:t>
      </w:r>
    </w:p>
    <w:p>
      <w:pPr>
        <w:spacing w:after="160" w:line="320" w:lineRule="auto"/>
        <w:jc w:val="both"/>
      </w:pPr>
      <w:r>
        <w:t xml:space="preserve">Equations 3.4 and 3.5 state a Gaussian law on log realised variance, which induces a log-normal law on the variance scale; every interval, quantile and closed-form score below is read off it. The central interval at nominal level 1 − </w:t>
      </w:r>
      <w:r>
        <w:rPr>
          <w:i/>
        </w:rPr>
        <w:t>α</w:t>
      </w:r>
      <w:r>
        <w:t xml:space="preserve"> is</w:t>
      </w:r>
    </w:p>
    <w:p>
      <w:pPr>
        <w:tabs>
          <w:tab w:pos="4513" w:val="center"/>
          <w:tab w:pos="9026" w:val="right"/>
        </w:tabs>
        <w:spacing w:after="220" w:line="320" w:lineRule="auto"/>
      </w:pPr>
      <w: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tab/>
        <w:t>(3.6)</w:t>
      </w:r>
    </w:p>
    <w:p>
      <w:pPr>
        <w:spacing w:after="160" w:line="320" w:lineRule="auto"/>
        <w:jc w:val="both"/>
      </w:pPr>
      <w:r>
        <w:t xml:space="preserve">where </w:t>
      </w:r>
      <w:r>
        <w:rPr>
          <w:i/>
        </w:rPr>
        <w:t>α</w:t>
      </w:r>
      <w:r>
        <w:t xml:space="preserve"> is one minus the nominal coverage, </w:t>
      </w:r>
      <w:r>
        <w:t>Φ</w:t>
      </w:r>
      <w:r>
        <w:rPr>
          <w:sz w:val="19"/>
          <w:vertAlign w:val="superscript"/>
        </w:rPr>
        <w:t>−1</w:t>
      </w:r>
      <w:r>
        <w:t xml:space="preserve"> the standard normal quantile function, and </w:t>
      </w:r>
      <w:r>
        <w:rPr>
          <w:i/>
        </w:rPr>
        <w:t>σ̂</w:t>
      </w:r>
      <w:r>
        <w:rPr>
          <w:i/>
          <w:sz w:val="19"/>
          <w:vertAlign w:val="subscript"/>
        </w:rPr>
        <w:t>t</w:t>
      </w:r>
      <w: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jc w:val="both"/>
      </w:pPr>
      <w:r>
        <w:t xml:space="preserve">The boundaries follow requirements, not convenience: the training block must span at least one calm-to-crisis cycle, since the regime model estimates its states from it alone; the validation block must be long enough that its ranking of the grid is not itself noise; and the test block must hold a stress episode and enough days for the tests of Section 3.7 to have power. Chapter 4 reports the dates these requirements select.</w:t>
      </w:r>
    </w:p>
    <w:p>
      <w:pPr>
        <w:spacing w:after="160" w:line="320" w:lineRule="auto"/>
        <w:jc w:val="both"/>
      </w:pPr>
      <w:r>
        <w:t xml:space="preserve">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and with a single seed the second is not measurable.</w:t>
      </w:r>
    </w:p>
    <w:p>
      <w:pPr>
        <w:spacing w:after="160" w:line="320" w:lineRule="auto"/>
        <w:jc w:val="both"/>
      </w:pPr>
      <w: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C.3 states the grid, what each hyperparameter controls, how it is selected and the expected effect of increasing it.</w:t>
      </w:r>
    </w:p>
    <w:p>
      <w:pPr>
        <w:spacing w:after="160" w:line="320"/>
        <w:jc w:val="both"/>
      </w:pPr>
      <w:r>
        <w:t>One unswept decision in Appendix C.3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i/>
          <w:iCs/>
        </w:rPr>
        <w:t xml:space="preserve">t</w:t>
      </w:r>
      <w:r>
        <w:t xml:space="preserve"> was computed with knowledge of any observation dated </w:t>
      </w:r>
      <w:r>
        <w:rPr>
          <w:i/>
          <w:iCs/>
        </w:rPr>
        <w:t xml:space="preserve">t</w:t>
      </w:r>
      <w: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Appendix C.4 fixes the settings at which each was run — lag rules, test sizes, bootstrap controls and seeds. Interval criteria are reported at 90% and 95% for the methods stating a predictive law, and at 90% alone for the quantile head, whose trained quantiles define that band and no other. 90% is the headline because it is the only level at which the two uncertainty methods are comparable; comparing them anywhere else would favour the parametric family by construction.</w:t>
      </w:r>
    </w:p>
    <w:p>
      <w:pPr>
        <w:pStyle w:val="Caption"/>
      </w:pPr>
      <w: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tab/>
        <w:t>(3.7)</w:t>
      </w:r>
    </w:p>
    <w:p>
      <w:pPr>
        <w:spacing w:after="160" w:line="320"/>
        <w:jc w:val="both"/>
      </w:pPr>
      <w:r>
        <w:t xml:space="preserve">where </w:t>
      </w:r>
      <w:r>
        <w:rPr>
          <w:i/>
          <w:iCs/>
        </w:rPr>
        <w:t xml:space="preserve">n</w:t>
      </w:r>
      <w:r>
        <w:t xml:space="preserve"> is the number of evaluated days, </w:t>
      </w:r>
      <w:r>
        <w:rPr>
          <w:i/>
          <w:iCs/>
        </w:rPr>
        <w:t>RV</w:t>
      </w:r>
      <w:r>
        <w:rPr>
          <w:i/>
          <w:iCs/>
          <w:sz w:val="19"/>
          <w:szCs w:val="19"/>
          <w:vertAlign w:val="superscript"/>
        </w:rPr>
      </w:r>
      <w:r>
        <w:rPr>
          <w:i/>
          <w:iCs/>
          <w:sz w:val="19"/>
          <w:szCs w:val="19"/>
          <w:vertAlign w:val="subscript"/>
        </w:rPr>
        <w:t xml:space="preserve">t</w:t>
      </w:r>
      <w:r>
        <w:t xml:space="preserve"> the realised variance on day </w:t>
      </w:r>
      <w:r>
        <w:rPr>
          <w:i/>
          <w:iCs/>
        </w:rPr>
        <w:t xml:space="preserve">t</w:t>
      </w:r>
      <w:r>
        <w:t xml:space="preserve"> and </w:t>
      </w:r>
      <w:r>
        <w:rPr>
          <w:i/>
          <w:iCs/>
        </w:rPr>
        <w:t>ĥ</w:t>
      </w:r>
      <w:r>
        <w:rPr>
          <w:i/>
          <w:iCs/>
          <w:sz w:val="19"/>
          <w:szCs w:val="19"/>
          <w:vertAlign w:val="subscript"/>
        </w:rPr>
        <w:t xml:space="preserve">t</w:t>
      </w:r>
      <w:r>
        <w:t xml:space="preserve"> the variance forecast for it, both as defined above. QLIKE is more often written without the final two terms; this form subtracts its value at a perfect forecast, so the loss is zero when </w:t>
      </w:r>
      <w:r>
        <w:rPr>
          <w:i/>
          <w:iCs/>
        </w:rPr>
        <w:t>ĥ</w:t>
      </w:r>
      <w:r>
        <w:rPr>
          <w:i/>
          <w:iCs/>
          <w:sz w:val="19"/>
          <w:szCs w:val="19"/>
          <w:vertAlign w:val="subscript"/>
        </w:rPr>
        <w:t xml:space="preserve">t</w:t>
      </w:r>
      <w:r>
        <w:rPr>
          <w:i/>
          <w:iCs/>
        </w:rPr>
        <w:t xml:space="preserve"> = RV</w:t>
      </w:r>
      <w:r>
        <w:rPr>
          <w:i/>
          <w:iCs/>
          <w:sz w:val="19"/>
          <w:szCs w:val="19"/>
          <w:vertAlign w:val="superscript"/>
        </w:rPr>
      </w:r>
      <w:r>
        <w:rPr>
          <w:i/>
          <w:iCs/>
          <w:sz w:val="19"/>
          <w:szCs w:val="19"/>
          <w:vertAlign w:val="subscript"/>
        </w:rPr>
        <w:t xml:space="preserve">t</w:t>
      </w:r>
      <w:r>
        <w:t xml:space="preserve">. It is a Bregman divergence, not a different loss — every ranking and test statistic is unchanged — but a reported number becomes readable as a distance from perfect.</w:t>
      </w:r>
    </w:p>
    <w:p>
      <w:pPr>
        <w:spacing w:after="160" w:line="320"/>
        <w:jc w:val="both"/>
      </w:pPr>
      <w: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tab/>
        <w:t>(3.8)</w:t>
      </w:r>
    </w:p>
    <w:p>
      <w:pPr>
        <w:spacing w:after="160" w:line="320"/>
        <w:jc w:val="both"/>
      </w:pPr>
      <w:r>
        <w:t xml:space="preserve">where </w:t>
      </w:r>
      <w:r>
        <w:rPr>
          <w:i/>
          <w:iCs/>
        </w:rPr>
      </w:r>
      <w:r>
        <w:rPr>
          <w:i/>
          <w:iCs/>
          <w:sz w:val="19"/>
          <w:szCs w:val="19"/>
          <w:vertAlign w:val="subscript"/>
        </w:rPr>
      </w:r>
      <w:r/>
      <w:r>
        <w:rPr>
          <w:i/>
          <w:iCs/>
        </w:rPr>
        <w:t xml:space="preserve">ℓ</w:t>
      </w:r>
      <w:r>
        <w:rPr>
          <w:i/>
          <w:iCs/>
          <w:sz w:val="19"/>
          <w:szCs w:val="19"/>
          <w:vertAlign w:val="subscript"/>
        </w:rPr>
        <w:t xml:space="preserve">t</w:t>
      </w:r>
      <w:r>
        <w:t xml:space="preserve"> and </w:t>
      </w:r>
      <w:r>
        <w:rPr>
          <w:i/>
          <w:iCs/>
        </w:rPr>
        <w:t xml:space="preserve">u</w:t>
      </w:r>
      <w:r>
        <w:rPr>
          <w:i/>
          <w:iCs/>
          <w:sz w:val="19"/>
          <w:szCs w:val="19"/>
          <w:vertAlign w:val="subscript"/>
        </w:rPr>
        <w:t xml:space="preserve">t</w:t>
      </w:r>
      <w:r>
        <w:t xml:space="preserve"> are the interval bounds of Equation 3.6, </w:t>
      </w:r>
      <w:r>
        <w:rPr>
          <w:i/>
          <w:iCs/>
        </w:rPr>
        <w:t>I</w:t>
      </w:r>
      <w:r>
        <w:rPr>
          <w:i/>
          <w:iCs/>
          <w:sz w:val="19"/>
          <w:szCs w:val="19"/>
          <w:vertAlign w:val="subscript"/>
        </w:rPr>
        <w:t xml:space="preserve">t</w:t>
      </w:r>
      <w:r>
        <w:t xml:space="preserve"> a subsample indicator measurable at </w:t>
      </w:r>
      <w:r>
        <w:rPr>
          <w:i/>
          <w:iCs/>
        </w:rPr>
        <w:t xml:space="preserve">t</w:t>
      </w:r>
      <w:r>
        <w:t xml:space="preserve">−1, and </w:t>
      </w:r>
      <w:r>
        <w:rPr>
          <w:i/>
          <w:iCs/>
        </w:rPr>
        <w:t xml:space="preserve">Δ</w:t>
      </w:r>
      <w:r>
        <w:t xml:space="preserve"> the difference in violation rate between flagged days and the remainder, tested as the coefficient on </w:t>
      </w:r>
      <w:r>
        <w:rPr>
          <w:i/>
          <w:iCs/>
        </w:rPr>
        <w:t>I</w:t>
      </w:r>
      <w:r>
        <w:rPr>
          <w:i/>
          <w:iCs/>
          <w:sz w:val="19"/>
          <w:szCs w:val="19"/>
          <w:vertAlign w:val="subscript"/>
        </w:rPr>
        <w:t xml:space="preserve">t</w:t>
      </w:r>
      <w: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t xml:space="preserve">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by method, level and side, rather than assembled per table, so a count of rejections is read against that denominator and not against the number of rows displayed.</w:t>
      </w:r>
    </w:p>
    <w:p>
      <w:pPr>
        <w:spacing w:after="160" w:line="320"/>
        <w:jc w:val="both"/>
      </w:pPr>
      <w: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t>One further quantity is reported alongside the interval criteria, at the headline level,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t xml:space="preserve">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C.5 states the minimum configuration, each requirement following from the architectures of Section 3.4. Every model is estimated and evaluated locally on a general-purpose processor: nothing calls an external service, so no token, latency or cost limit applies and no data leaves the machine. What the method does require of a network is acquisition — the price series and the realised measure must be obtained and cached before anything above runs, and a discontinued source must be archived rather than fetched on demand.</w:t>
      </w:r>
    </w:p>
    <w:p>
      <w:pPr>
        <w:spacing w:after="160" w:line="320"/>
        <w:jc w:val="both"/>
      </w:pPr>
      <w:r>
        <w:t xml:space="preserve">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the interpreter version is part of the specification, since a rebuild under another may not return the committed values, a discrepancy indistinguishable from an error in the method. The implementation, the configuration that produced each reported value and the instructions for regenerating them are published in a public repository, cited in Appendix C.5, so the values Chapter 4 reports can be recomputed rather than taken on trust.</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t xml:space="preserve">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And because the frame is assembled by the inner join of Section 3.2, an asset trading on a different exchange calendar yields a different sample; the rows lost are reported rather than absorbed.</w:t>
      </w:r>
    </w:p>
    <w:p>
      <w:pPr>
        <w:spacing w:after="160" w:line="320"/>
        <w:jc w:val="both"/>
      </w:pPr>
      <w: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pStyle w:val="Caption"/>
      </w:pPr>
      <w: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 variance in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the leading models are refitted across a set of seeds and the spread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where the seed spread exceeds a pooled gap, that ranking is not resolved by this design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spacing w:after="160" w:line="320"/>
        <w:jc w:val="both"/>
      </w:pPr>
      <w:r>
        <w:t xml:space="preserve">The ethical position follows from the data, and is stated here rather than assumed. Both sources are publicly published market aggregates, so no personal data is processed and no privacy or data-protection obligation arises; fairness in the sense the machine-learning literature uses it, concerning decisions taken about identifiable individuals, does not apply. What does apply is the asymmetry noted in Section 3.1: an interval that is too narrow understates risk, and that cost falls on whoever bears the exposure rather than on whoever fits the model — which is why calibration is reported beside accuracy, and by state rather than pooled.</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back to the objectives of Section 1.5 that answer it, and forward to specific evidence: RQ1 (objectives i and ii) to the QLIKE ranking with its Diebold–Mariano tests and the Model Confidence Set; RQ2 (objective iii) to the Giacomini–White test of conditional predictive ability and the per-state breakdown; RQ3 (objective iv) to coverage, width, the proper scores and the interval backtests; and RQ4 (no objective of its own) to the reduced replication of Section 3.9. Section 3.10 states what none of it can establish, and the ethical position the data implies.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pPr>
        <w:spacing w:after="160" w:line="320" w:lineRule="auto"/>
        <w:ind w:left="567" w:hanging="567"/>
        <w:jc w:val="left"/>
      </w:pPr>
      <w:r>
        <w:t xml:space="preserve">Bergstra, J. and Bengio, Y., 2012. Random search for hyper-parameter optimization. </w:t>
      </w:r>
      <w:r>
        <w:rPr>
          <w:i/>
        </w:rPr>
        <w:t>Journal of Machine Learning Research</w:t>
      </w:r>
      <w:r>
        <w:t>, 13(10), pp.281–305. https://jmlr.org/papers/v13/bergstra12a.html</w:t>
      </w:r>
    </w:p>
    <w:p>
      <w:pPr>
        <w:spacing w:after="160" w:line="320" w:lineRule="auto"/>
        <w:ind w:left="567" w:hanging="567"/>
        <w:jc w:val="left"/>
      </w:pPr>
      <w:r>
        <w:t xml:space="preserve">Bollerslev, T., 1986. Generalized autoregressive conditional heteroskedasticity. </w:t>
      </w:r>
      <w:r>
        <w:rPr>
          <w:i/>
        </w:rPr>
        <w:t>Journal of Econometrics</w:t>
      </w:r>
      <w:r>
        <w:t>, 31(3), pp.307–327. https://doi.org/10.1016/0304-4076(86)90063-1</w:t>
      </w:r>
    </w:p>
    <w:p>
      <w:pPr>
        <w:spacing w:after="160" w:line="320" w:lineRule="auto"/>
        <w:ind w:left="567" w:hanging="567"/>
        <w:jc w:val="left"/>
      </w:pPr>
      <w:r>
        <w:t xml:space="preserve">Christoffersen, P.F., 1998. Evaluating interval forecasts. </w:t>
      </w:r>
      <w:r>
        <w:rPr>
          <w:i/>
        </w:rPr>
        <w:t>International Economic Review</w:t>
      </w:r>
      <w:r>
        <w:t>, 39(4), pp.841–862. https://doi.org/10.2307/2527341</w:t>
      </w:r>
    </w:p>
    <w:p>
      <w:pPr>
        <w:spacing w:after="160" w:line="32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pPr>
        <w:spacing w:after="160" w:line="32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pPr>
        <w:spacing w:after="160" w:line="320" w:lineRule="auto"/>
        <w:ind w:left="567" w:hanging="567"/>
        <w:jc w:val="left"/>
      </w:pPr>
      <w:r>
        <w:t xml:space="preserve">Duan, N., 1983. Smearing estimate: a nonparametric retransformation method. </w:t>
      </w:r>
      <w:r>
        <w:rPr>
          <w:i/>
        </w:rPr>
        <w:t>Journal of the American Statistical Association</w:t>
      </w:r>
      <w:r>
        <w:t>, 78(383), pp.605–610. https://doi.org/10.1080/01621459.1983.10478017</w:t>
      </w:r>
    </w:p>
    <w:p>
      <w:pPr>
        <w:spacing w:after="160" w:line="32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pPr>
        <w:spacing w:after="160" w:line="32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pPr>
        <w:spacing w:after="160" w:line="320" w:lineRule="auto"/>
        <w:ind w:left="567" w:hanging="567"/>
        <w:jc w:val="left"/>
      </w:pPr>
      <w:r>
        <w:t xml:space="preserve">Giacomini, R. and White, H., 2006. Tests of conditional predictive ability. </w:t>
      </w:r>
      <w:r>
        <w:rPr>
          <w:i/>
        </w:rPr>
        <w:t>Econometrica</w:t>
      </w:r>
      <w:r>
        <w:t>, 74(6), pp.1545–1578. https://doi.org/10.1111/j.1468-0262.2006.00718.x</w:t>
      </w:r>
    </w:p>
    <w:p>
      <w:pPr>
        <w:spacing w:after="160" w:line="32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r>
        <w:t>https://doi.org/10.1198/016214506000001437</w:t>
      </w:r>
    </w:p>
    <w:p>
      <w:pPr>
        <w:spacing w:after="160" w:line="32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pPr>
        <w:spacing w:after="160" w:line="320" w:lineRule="auto"/>
        <w:ind w:left="567" w:hanging="567"/>
        <w:jc w:val="left"/>
      </w:pPr>
      <w:r>
        <w:t xml:space="preserve">Hansen, P.R., Lunde, A. and Nason, J.M., 2011. The model confidence set. </w:t>
      </w:r>
      <w:r>
        <w:rPr>
          <w:i/>
        </w:rPr>
        <w:t>Econometrica</w:t>
      </w:r>
      <w:r>
        <w:t>, 79(2), pp.453–497. https://doi.org/10.3982/ECTA5771</w:t>
      </w:r>
    </w:p>
    <w:p>
      <w:pPr>
        <w:spacing w:after="160" w:line="320" w:lineRule="auto"/>
        <w:ind w:left="567" w:hanging="567"/>
        <w:jc w:val="left"/>
      </w:pPr>
      <w:r>
        <w:t xml:space="preserve">Harvey, D., Leybourne, S. and Newbold, P., 1997. Testing the equality of prediction mean squared errors. </w:t>
      </w:r>
      <w:r>
        <w:rPr>
          <w:i/>
        </w:rPr>
        <w:t>International Journal of Forecasting</w:t>
      </w:r>
      <w:r>
        <w:t>, 13(2), pp.281–291. https://doi.org/10.1016/S0169-2070(96)00719-4</w:t>
      </w:r>
    </w:p>
    <w:p>
      <w:pPr>
        <w:spacing w:after="160" w:line="320" w:lineRule="auto"/>
        <w:ind w:left="567" w:hanging="567"/>
        <w:jc w:val="left"/>
      </w:pPr>
      <w:r>
        <w:t xml:space="preserve">Hochreiter, S. and Schmidhuber, J., 1997. </w:t>
      </w:r>
      <w:r>
        <w:t xml:space="preserve">Long short-term memory. </w:t>
      </w:r>
      <w:r>
        <w:rPr>
          <w:i/>
        </w:rPr>
        <w:t>Neural Computation</w:t>
      </w:r>
      <w:r>
        <w:t>, 9(8), pp.1735–1780. https://doi.org/10.1162/neco.1997.9.8.1735</w:t>
      </w:r>
    </w:p>
    <w:p>
      <w:pPr>
        <w:spacing w:after="160" w:line="320" w:lineRule="auto"/>
        <w:ind w:left="567" w:hanging="567"/>
        <w:jc w:val="left"/>
      </w:pPr>
      <w:r>
        <w:t xml:space="preserve">Holm, S., 1979. A simple sequentially rejective multiple test procedure. </w:t>
      </w:r>
      <w:r>
        <w:rPr>
          <w:i/>
        </w:rPr>
        <w:t>Scandinavian Journal of Statistics</w:t>
      </w:r>
      <w:r>
        <w:t>, 6(2), pp.65–70.</w:t>
      </w:r>
    </w:p>
    <w:p>
      <w:pPr>
        <w:spacing w:after="160" w:line="320" w:lineRule="auto"/>
        <w:ind w:left="567" w:hanging="567"/>
        <w:jc w:val="left"/>
      </w:pPr>
      <w:r>
        <w:t xml:space="preserve">Jacobs, R.A., Jordan, M.I., Nowlan, S.J. and Hinton, G.E., 1991. Adaptive mixtures of local experts. </w:t>
      </w:r>
      <w:r>
        <w:rPr>
          <w:i/>
        </w:rPr>
        <w:t>Neural Computation</w:t>
      </w:r>
      <w:r>
        <w:t>, 3(1), pp.79–87. https://doi.org/10.1162/neco.1991.3.1.79</w:t>
      </w:r>
    </w:p>
    <w:p>
      <w:pPr>
        <w:spacing w:after="160" w:line="320" w:lineRule="auto"/>
        <w:ind w:left="567" w:hanging="567"/>
        <w:jc w:val="left"/>
      </w:pPr>
      <w:r>
        <w:t xml:space="preserve">Koenker, R. and Bassett, G., 1978. Regression quantiles. </w:t>
      </w:r>
      <w:r>
        <w:rPr>
          <w:i/>
        </w:rPr>
        <w:t>Econometrica</w:t>
      </w:r>
      <w:r>
        <w:t>, 46(1), pp.33–50. https://doi.org/10.2307/1913643</w:t>
      </w:r>
    </w:p>
    <w:p>
      <w:pPr>
        <w:spacing w:after="160" w:line="320" w:lineRule="auto"/>
        <w:ind w:left="567" w:hanging="567"/>
        <w:jc w:val="left"/>
      </w:pPr>
      <w:r>
        <w:t xml:space="preserve">Kupiec, P.H., 1995. Techniques for verifying the accuracy of risk measurement models. </w:t>
      </w:r>
      <w:r>
        <w:rPr>
          <w:i/>
        </w:rPr>
        <w:t>The Journal of Derivatives</w:t>
      </w:r>
      <w:r>
        <w:t>, 3(2), pp.73–84. https://doi.org/10.3905/jod.1995.407942</w:t>
      </w:r>
    </w:p>
    <w:p>
      <w:pPr>
        <w:spacing w:after="160" w:line="32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r>
        <w:t>https://doi.org/10.1098/rsta.2020.0209</w:t>
      </w:r>
    </w:p>
    <w:p>
      <w:pPr>
        <w:spacing w:after="160" w:line="32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pPr>
        <w:spacing w:after="160" w:line="320" w:lineRule="auto"/>
        <w:ind w:left="567" w:hanging="567"/>
        <w:jc w:val="left"/>
      </w:pPr>
      <w:r>
        <w:t xml:space="preserve">Liu, L.Y., Patton, A.J. and Sheppard, K., 2015. Does anything beat 5-minute RV? A comparison of realized measures across multiple asset classes. </w:t>
      </w:r>
      <w:r>
        <w:rPr>
          <w:i/>
        </w:rPr>
        <w:t>Journal of Econometrics</w:t>
      </w:r>
      <w:r>
        <w:t>, 187(1), pp.293–311. https://doi.org/10.1016/j.jeconom.2015.02.008</w:t>
      </w:r>
    </w:p>
    <w:p>
      <w:pPr>
        <w:spacing w:after="160" w:line="320" w:lineRule="auto"/>
        <w:ind w:left="567" w:hanging="567"/>
        <w:jc w:val="left"/>
      </w:pPr>
      <w:r>
        <w:t xml:space="preserve">Nelson, D.B., 1991. Conditional heteroskedasticity in asset returns: a new approach. </w:t>
      </w:r>
      <w:r>
        <w:rPr>
          <w:i/>
        </w:rPr>
        <w:t>Econometrica</w:t>
      </w:r>
      <w:r>
        <w:t>, 59(2), pp.347–370. https://doi.org/10.2307/2938260</w:t>
      </w:r>
    </w:p>
    <w:p>
      <w:pPr>
        <w:spacing w:after="160" w:line="320" w:lineRule="auto"/>
        <w:ind w:left="567" w:hanging="567"/>
        <w:jc w:val="left"/>
      </w:pPr>
      <w:r>
        <w:t xml:space="preserve">Newey, W.K. and West, K.D., 1987. A simple, positive semi-definite, heteroskedasticity and autocorrelation consistent covariance matrix. </w:t>
      </w:r>
      <w:r>
        <w:rPr>
          <w:i/>
        </w:rPr>
        <w:t>Econometrica</w:t>
      </w:r>
      <w:r>
        <w:t>, 55(3), pp.703–708. https://doi.org/10.2307/1913610</w:t>
      </w:r>
    </w:p>
    <w:p>
      <w:pPr>
        <w:spacing w:after="160" w:line="32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pPr>
        <w:spacing w:after="160" w:line="32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pPr>
        <w:spacing w:after="160" w:line="320" w:lineRule="auto"/>
        <w:ind w:left="567" w:hanging="567"/>
        <w:jc w:val="left"/>
      </w:pPr>
      <w:r>
        <w:t xml:space="preserve">Politis, D.N. and Romano, J.P., 1994. The stationary bootstrap. </w:t>
      </w:r>
      <w:r>
        <w:rPr>
          <w:i/>
        </w:rPr>
        <w:t>Journal of the American Statistical Association</w:t>
      </w:r>
      <w:r>
        <w:t>, 89(428), pp.1303–1313. https://doi.org/10.1080/01621459.1994.10476870</w:t>
      </w:r>
    </w:p>
    <w:p>
      <w:pPr>
        <w:spacing w:after="160" w:line="32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pPr>
        <w:spacing w:after="160" w:line="32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