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320"/>
      </w:pPr>
      <w:r>
        <w:rPr>
          <w:rFonts w:ascii="Calibri" w:cs="Calibri" w:eastAsia="Calibri" w:hAnsi="Calibri"/>
          <w:b/>
          <w:bCs/>
          <w:color w:val="111111"/>
          <w:sz w:val="30"/>
          <w:szCs w:val="30"/>
        </w:rPr>
        <w:t xml:space="preserve">Results</w:t>
      </w:r>
    </w:p>
    <w:p>
      <w:pPr>
        <w:pStyle w:val="Heading2"/>
        <w:spacing w:after="180" w:before="320"/>
      </w:pPr>
      <w:r>
        <w:rPr>
          <w:rFonts w:ascii="Calibri" w:cs="Calibri" w:eastAsia="Calibri" w:hAnsi="Calibri"/>
          <w:b/>
          <w:bCs/>
          <w:color w:val="111111"/>
          <w:sz w:val="26"/>
          <w:szCs w:val="26"/>
        </w:rPr>
        <w:t xml:space="preserve">Introduction</w:t>
      </w:r>
    </w:p>
    <w:p>
      <w:pPr>
        <w:spacing w:after="160" w:line="320"/>
        <w:jc w:val="both"/>
      </w:pPr>
      <w:r>
        <w:t xml:space="preserve">This chapter reports what the method of Chapter 3 returns when its data interface is instantiated on a single equity index. The thirteen ranked specifications of Appendix C.2 — four econometric baselines and nine network variants — are scored on one held-out block of 784 trading days under the losses and tests of Section 3.7, with QLIKE primary throughout and every conditional statistic bucketed on the state known at the forecast origin. Two further specifications, the auxiliary-feature ablation and the retransformed quantile forecast, are reported apart from that board for the reasons Sections 3.4 and 3.5 give.</w:t>
      </w:r>
    </w:p>
    <w:p>
      <w:pPr>
        <w:spacing w:after="160" w:line="320"/>
        <w:jc w:val="both"/>
      </w:pPr>
      <w:r>
        <w:t xml:space="preserve">Four findings follow, and the first disciplines the rest. The network specifications lower pooled QLIKE against HAR-RV by roughly five per cent, but the difference is not significant and the Model Confidence Set retains HAR-RV; what the set excludes decisively is the entire conditional-variance family. Regime conditioning does not lower average loss so much as relocate the advantage, which concentrates in the transitional state and is significant only there. The prediction intervals under-cover at both nominal levels, and their width does not adapt to the market state. And the result survives a change of index within the US session while failing to survive a change of market.</w:t>
      </w:r>
    </w:p>
    <w:p>
      <w:pPr>
        <w:pStyle w:val="Heading2"/>
        <w:spacing w:after="180" w:before="320"/>
      </w:pPr>
      <w:r>
        <w:rPr>
          <w:rFonts w:ascii="Calibri" w:cs="Calibri" w:eastAsia="Calibri" w:hAnsi="Calibri"/>
          <w:b/>
          <w:bCs/>
          <w:color w:val="111111"/>
          <w:sz w:val="26"/>
          <w:szCs w:val="26"/>
        </w:rPr>
        <w:t xml:space="preserve">The validation sample</w:t>
      </w:r>
    </w:p>
    <w:p>
      <w:pPr>
        <w:spacing w:after="160" w:line="320"/>
        <w:jc w:val="both"/>
      </w:pPr>
      <w:r>
        <w:t xml:space="preserve">The series used to validate the method is the five-minute realised variance of the S&amp;P 500 published by the Oxford-Man Realized Library (Heber et al., 2009), constructed as the sum of squared intraday returns in the sense of Andersen et al. (2003). It was selected because it satisfies the requirements of Section 3.2 rather than because it was to hand: its sampling grid is fixed at five minutes and documented, the compromise between discretisation error and microstructure noise that Liu, Patton and Sheppard (2015) identify as conventional; the measure is strictly positive on every day it covers, so the logarithm each network is estimated on is defined throughout; and daily open and close prices for the same index are available over an identical calendar, so the open-to-close return the baselines and the networks take is matched to the session the target measures.</w:t>
      </w:r>
    </w:p>
    <w:p>
      <w:pPr>
        <w:spacing w:after="160" w:line="320"/>
        <w:jc w:val="both"/>
      </w:pPr>
      <w:r>
        <w:t xml:space="preserve">Table 4.1 records the resulting sample. The library's coverage of the index runs from 3 January 2000 to 25 February 2022, the date of its discontinuation, which is what fixes the end of the study period. Twenty-two days are consumed by the warm-up Section 3.2 requires, the twenty-two-day monthly aggregate being the longest, and none is lost to the calendar join, the realised measure and the daily prices sharing one trading calendar. Applying the split rule of Section 3.6 to the remaining 5,530 days gives 3,993 training days to the end of 2015, 753 validation days across 2016 to 2018, and a test block of 784 days from 2 January 2019 to 25 February 2022.</w:t>
      </w:r>
    </w:p>
    <w:p>
      <w:pPr>
        <w:pStyle w:val="Caption"/>
      </w:pPr>
      <w:r>
        <w:t xml:space="preserve">Table 4.1  The series used to validate the method, and how its 5,530 modelling days divide. The split rule is Section 3.6's; the counts are what applying it to this series returns.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blHeader/>
        </w:trPr>
        <w:tc>
          <w:tcPr>
            <w:tcW w:type="dxa" w:w="2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Property</w:t>
            </w:r>
          </w:p>
        </w:tc>
        <w:tc>
          <w:tcPr>
            <w:tcW w:type="dxa" w:w="64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Value</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Target series</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Oxford-Man Realized Library five-minute realised variance, S&amp;P 500</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Construction</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Sum of squared five-minute intraday returns</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Auxiliary series</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S&amp;P 500 daily open and close, and the CBOE VIX, from Yahoo Finance</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Library coverage</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 January 2000 to 25 February 2022, when the library was discontinued</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Observations in the library</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5,552</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Lost to the calendar join</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0</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Lost to the warm-up</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22</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Modelling frame</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5,530 days, 3 February 2000 to 25 February 2022</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Training block</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3,993 days, to 31 December 2015</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Validation block</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753 days, 4 January 2016 to 31 December 2018</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Test block</w:t>
            </w:r>
          </w:p>
        </w:tc>
        <w:tc>
          <w:tcPr>
            <w:tcW w:type="dxa" w:w="6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784 days, 2 January 2019 to 25 February 2022</w:t>
            </w:r>
          </w:p>
        </w:tc>
      </w:tr>
    </w:tbl>
    <w:p>
      <w:pPr>
        <w:spacing w:after="160" w:line="320"/>
        <w:jc w:val="both"/>
      </w:pPr>
      <w:r>
        <w:t xml:space="preserve">Every quantity in this chapter is on the variance scale, and one conversion fixes its magnitude: multiplying a daily realised variance by 252 and taking the square root gives the equivalent annualised volatility. The median test day is then 9.4 per cent and the mean 16.5 per cent, with an interquartile range of 6.7 to 14.1 per cent and a maximum of 102.3 per cent reached on 12 March 2020, 117 times the median. Sample skewness is 8.13, excess kurtosis 78.4 and first-order autocorrelation 0.755, so the block carries the right-skew, heavy tails and persistence the target is expected to show (Cont, 2001).</w:t>
      </w:r>
    </w:p>
    <w:p>
      <w:pPr>
        <w:spacing w:after="160" w:line="320"/>
        <w:jc w:val="both"/>
      </w:pPr>
      <w:r>
        <w:t xml:space="preserve">Two properties of the series bound the results, both anticipated in Table 3.5. The target is a proxy, so every loss and interval below is scored against an estimate of an unobservable rather than against the truth; and the library's discontinuation leaves a window containing one dominant stress episode, so the crisis-state results rest on 76 days.</w:t>
      </w:r>
    </w:p>
    <w:p>
      <w:pPr>
        <w:pStyle w:val="Heading2"/>
        <w:spacing w:after="180" w:before="320"/>
      </w:pPr>
      <w:r>
        <w:rPr>
          <w:rFonts w:ascii="Calibri" w:cs="Calibri" w:eastAsia="Calibri" w:hAnsi="Calibri"/>
          <w:b/>
          <w:bCs/>
          <w:color w:val="111111"/>
          <w:sz w:val="26"/>
          <w:szCs w:val="26"/>
        </w:rPr>
        <w:t xml:space="preserve">One forecast, end to end</w:t>
      </w:r>
    </w:p>
    <w:p>
      <w:pPr>
        <w:spacing w:after="160" w:line="320"/>
        <w:jc w:val="both"/>
      </w:pPr>
      <w:r>
        <w:t xml:space="preserve">Before the aggregates, one forecast is worked through in full. The day is 16 March 2020: the second-largest realised variance in the evaluation window, and the day carrying the highest VIX close anywhere in the 2000 to 2022 sample, at 82.69. The networks' input is the ten trading days ending 13 March, over which realised variance runs from 2.67 to 41.53 and the jump-penalised filtered state is crisis on every one of them; the state posterior at the forecast origin is (0, 0, 1), so the mixture's gate entropy is zero and the model reduces to its crisis expert. That is the mechanism of Equation 3.3 visible in a single number.</w:t>
      </w:r>
    </w:p>
    <w:p>
      <w:pPr>
        <w:pStyle w:val="Caption"/>
      </w:pPr>
      <w:r>
        <w:t xml:space="preserve">Table 4.2  One forecast, end to end: 16 March 2020, against a realised variance of 41.21. QLIKE is Equation 3.7. All variances are multiplied by ten thousand.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600"/>
        <w:gridCol w:w="1150"/>
        <w:gridCol w:w="2526"/>
      </w:tblGrid>
      <w:tr>
        <w:trPr>
          <w:cantSplit/>
          <w:tblHeader/>
        </w:trPr>
        <w:tc>
          <w:tcPr>
            <w:tcW w:type="dxa" w:w="2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2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Forecast</w:t>
            </w:r>
          </w:p>
        </w:tc>
        <w:tc>
          <w:tcPr>
            <w:tcW w:type="dxa" w:w="1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Actual / forecast</w:t>
            </w:r>
          </w:p>
        </w:tc>
        <w:tc>
          <w:tcPr>
            <w:tcW w:type="dxa" w:w="11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QLIKE</w:t>
            </w:r>
          </w:p>
        </w:tc>
        <w:tc>
          <w:tcPr>
            <w:tcW w:type="dxa" w:w="25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90% interval</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 (reference floor)</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26.29</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1.57</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0.118</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17.96</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2.30</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0.464</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15.57</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2.65</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0.673</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15.42</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2.67</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0.690</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4.71 to 34.84</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2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13.16</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3.13</w:t>
            </w:r>
          </w:p>
        </w:tc>
        <w:tc>
          <w:tcPr>
            <w:tcW w:type="dxa" w:w="11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0.990</w:t>
            </w:r>
          </w:p>
        </w:tc>
        <w:tc>
          <w:tcPr>
            <w:tcW w:type="dxa" w:w="2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bl>
    <w:p>
      <w:pPr>
        <w:spacing w:after="160" w:line="320"/>
        <w:jc w:val="both"/>
      </w:pPr>
      <w:r>
        <w:t xml:space="preserve">Table 4.2 gives what each model returned. Every one under-predicts, by a factor of 1.6 for the random walk and 4.5 for EGARCH, and the combined model's 90 per cent interval excludes the outcome, as do those of MC-Dropout-LSTM, LSTM-Gaussian and Quantile-LSTM. A one-step-ahead forecast conditions on what its window contains, and the window ends before the shock.</w:t>
      </w:r>
    </w:p>
    <w:p>
      <w:pPr>
        <w:spacing w:after="160" w:line="320"/>
        <w:jc w:val="both"/>
      </w:pPr>
      <w:r>
        <w:t xml:space="preserve">That the reference floor is closest here is the reason a single day is not evidence. Across the 784 evaluation days the random walk has the lowest loss on 300 of them, more than any other model in the table, and the highest pooled loss of the five.</w:t>
      </w:r>
    </w:p>
    <w:p>
      <w:pPr>
        <w:pStyle w:val="Heading2"/>
        <w:spacing w:after="180" w:before="320"/>
      </w:pPr>
      <w:r>
        <w:rPr>
          <w:rFonts w:ascii="Calibri" w:cs="Calibri" w:eastAsia="Calibri" w:hAnsi="Calibri"/>
          <w:b/>
          <w:bCs/>
          <w:color w:val="111111"/>
          <w:sz w:val="26"/>
          <w:szCs w:val="26"/>
        </w:rPr>
        <w:t xml:space="preserve">Selected configuration and measured cost</w:t>
      </w:r>
    </w:p>
    <w:p>
      <w:pPr>
        <w:spacing w:after="160" w:line="320"/>
        <w:jc w:val="both"/>
      </w:pPr>
      <w:r>
        <w:t xml:space="preserve">The three swept quantities of Appendix C.3 were selected over the eighteen configurations that grid defines, each trained on the training block and scored on the validation block by QLIKE. The selection is a hidden width of 128, a lookback of ten trading days and a learning rate of 1e-3, at a validation QLIKE of 0.2343. The lookback matters beyond its own value: at ten days the network reaches less history than HAR-RV's twenty-two-day aggregate, so the realised-volatility-only ablation of Section 3.4 works from strictly less information than the baseline it is matched against, and is the conservative control that section claims it to be.</w:t>
      </w:r>
    </w:p>
    <w:p>
      <w:pPr>
        <w:spacing w:after="160" w:line="320"/>
        <w:jc w:val="both"/>
      </w:pPr>
      <w:r>
        <w:t xml:space="preserve">The search was not constrained by its own budget. Four of the eighteen configurations ran to 132, 132, 136 and 150 epochs before early stopping halted them, the last reaching the ceiling exactly; had that ceiling been set at the lower value used in the later phases, those four would have been truncated and the selection biased toward configurations that converge quickly. The selected configuration stopped at 32 epochs, and the frozen fits that produce every forecast reported below stopped at 23 epochs for the unconditional network and at 23, 29 and 28 for the three experts of the mixture, so no reported model was constrained by the cap.</w:t>
      </w:r>
    </w:p>
    <w:p>
      <w:pPr>
        <w:pStyle w:val="Caption"/>
      </w:pPr>
      <w:r>
        <w:t xml:space="preserve">Table 4.3  The configuration selected by the procedure of Section 3.6, and the cost of running the study at it. Candidate values and the selection rule are in Appendix C.3; the minimum requirements they imply are in Appendix C.5.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Quantity</w:t>
            </w:r>
          </w:p>
        </w:tc>
        <w:tc>
          <w:tcPr>
            <w:tcW w:type="dxa" w:w="57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Value</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Hidden width</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128</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Lookback</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10 trading days</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Learning rate</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1e-3</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Configurations evaluated</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18</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Validation QLIKE at the selection</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0.2343</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Epochs, selected configuration in the search</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32, against a ceiling of 150</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Epochs, frozen fits</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23; the three experts 23, 29 and 28, against a ceiling of 90</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Trainable parameters</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67,713 for a single network; 203,139 for the mixture</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End-to-end wall-clock</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836 seconds, of which the search is 378</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Peak working memory</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390 MB</w:t>
            </w:r>
          </w:p>
        </w:tc>
      </w:tr>
      <w:tr>
        <w:trPr>
          <w:cantSplit/>
          <w:tblHeader w:val="false"/>
        </w:trPr>
        <w:tc>
          <w:tcPr>
            <w:tcW w:type="dxa" w:w="3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Accelerator</w:t>
            </w:r>
          </w:p>
        </w:tc>
        <w:tc>
          <w:tcPr>
            <w:tcW w:type="dxa" w:w="5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None; four processor cores</w:t>
            </w:r>
          </w:p>
        </w:tc>
      </w:tr>
    </w:tbl>
    <w:p>
      <w:pPr>
        <w:spacing w:after="160" w:line="320"/>
        <w:jc w:val="both"/>
      </w:pPr>
      <w:r>
        <w:t xml:space="preserve">Table 4.3 records the configuration and its cost. The study runs end to end in 13.9 minutes on four processor cores, of which the hyperparameter search is 45 per cent, and peaks at 390 megabytes of working memory, 244 of which is the deep-learning framework's own import footprint. The operational constraint on the method is the availability of the daily realised measure, not computation.</w:t>
      </w:r>
    </w:p>
    <w:p>
      <w:pPr>
        <w:pStyle w:val="Heading2"/>
        <w:spacing w:after="180" w:before="320"/>
      </w:pPr>
      <w:r>
        <w:rPr>
          <w:rFonts w:ascii="Calibri" w:cs="Calibri" w:eastAsia="Calibri" w:hAnsi="Calibri"/>
          <w:b/>
          <w:bCs/>
          <w:color w:val="111111"/>
          <w:sz w:val="26"/>
          <w:szCs w:val="26"/>
        </w:rPr>
        <w:t xml:space="preserve">Regime identification</w:t>
      </w:r>
    </w:p>
    <w:p>
      <w:pPr>
        <w:spacing w:after="160" w:line="320"/>
        <w:jc w:val="both"/>
      </w:pPr>
      <w:r>
        <w:t xml:space="preserve">The regime signal is an input to every result in Section 4.7, so its selection and its validity are established before anything conditioned on it is read. The penalty was chosen by the rule of Section 3.3 applied to the pre-registered grid: on training rows, a penalty of 1 leaves a mean state duration of 3.3 days and fails the persistence floor, while a penalty of 3 gives 51.9 days and clears it, making three the smallest admissible value. The finer sweep Section 3.3 promised makes the grid's influence visible rather than concealing it. On that sweep a penalty of 1.5 also clears the floor, at 19.5 days, and its state path agrees with the selected one on 90.3 per cent of training days and 91.5 per cent of evaluation days. The pre-registered grid is retained because it was fixed before any result existed, and the sensitivity is reported so the reader can see what a finer grid would have changed, which is little.</w:t>
      </w:r>
    </w:p>
    <w:p>
      <w:pPr>
        <w:pStyle w:val="Caption"/>
      </w:pPr>
      <w:r>
        <w:t xml:space="preserve">Table 4.4  Selection of the jump penalty on training rows. The rule of Section 3.3 takes the smallest value whose mean state duration clears the persistence floor.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500"/>
        <w:gridCol w:w="3526"/>
      </w:tblGrid>
      <w:tr>
        <w:trPr>
          <w:cantSplit/>
          <w:tblHeader/>
        </w:trPr>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Penalty</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Switches</w:t>
            </w:r>
          </w:p>
        </w:tc>
        <w:tc>
          <w:tcPr>
            <w:tcW w:type="dxa" w:w="2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 duration, days</w:t>
            </w:r>
          </w:p>
        </w:tc>
        <w:tc>
          <w:tcPr>
            <w:tcW w:type="dxa" w:w="35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Clears the floor</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1,196</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3.3</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76</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51.9</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 and selected</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363.0</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6</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570.4</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100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998.3</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r>
        <w:trPr>
          <w:cantSplit/>
          <w:tblHeader w:val="false"/>
        </w:trPr>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300</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w:t>
            </w:r>
          </w:p>
        </w:tc>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3,993.0</w:t>
            </w:r>
          </w:p>
        </w:tc>
        <w:tc>
          <w:tcPr>
            <w:tcW w:type="dxa" w:w="35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Yes</w:t>
            </w:r>
          </w:p>
        </w:tc>
      </w:tr>
    </w:tbl>
    <w:p>
      <w:pPr>
        <w:spacing w:after="160" w:line="320"/>
        <w:jc w:val="both"/>
      </w:pPr>
      <w:r>
        <w:t xml:space="preserve">The state count was likewise fixed in advance, and the information criterion is reported as a sensitivity rather than used as the selector. It does not settle the question. Over two, three and four states the Baum-Welch specification's criterion is minimised at three and the penalised model's at four, and the former's margin over four states is 4.8 points, so a rule of taking the minimum would return two different state counts for one study. Table 4.5 gives both.</w:t>
      </w:r>
    </w:p>
    <w:p>
      <w:pPr>
        <w:pStyle w:val="Caption"/>
      </w:pPr>
      <w:r>
        <w:t xml:space="preserve">Table 4.5  The Bayesian information criterion over the candidate state counts, for both regime estimators. The two disagree, which is why Section 3.3 fixes the count in advance and reports the criterion as a sensitivity.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713"/>
        <w:gridCol w:w="3713"/>
      </w:tblGrid>
      <w:tr>
        <w:trPr>
          <w:cantSplit/>
          <w:tblHeader/>
        </w:trPr>
        <w:tc>
          <w:tcPr>
            <w:tcW w:type="dxa" w:w="1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States</w:t>
            </w:r>
          </w:p>
        </w:tc>
        <w:tc>
          <w:tcPr>
            <w:tcW w:type="dxa" w:w="3713"/>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Baum-Welch criterion</w:t>
            </w:r>
          </w:p>
        </w:tc>
        <w:tc>
          <w:tcPr>
            <w:tcW w:type="dxa" w:w="3713"/>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Penalised criterion</w:t>
            </w:r>
          </w:p>
        </w:tc>
      </w:tr>
      <w:tr>
        <w:trPr>
          <w:cantSplit/>
          <w:tblHeader w:val="false"/>
        </w:trPr>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13,306.9</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13,705.7</w:t>
            </w:r>
          </w:p>
        </w:tc>
      </w:tr>
      <w:tr>
        <w:trPr>
          <w:cantSplit/>
          <w:tblHeader w:val="false"/>
        </w:trPr>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12,820.2</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13,237.4</w:t>
            </w:r>
          </w:p>
        </w:tc>
      </w:tr>
      <w:tr>
        <w:trPr>
          <w:cantSplit/>
          <w:tblHeader w:val="false"/>
        </w:trPr>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4</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12,825.0</w:t>
            </w:r>
          </w:p>
        </w:tc>
        <w:tc>
          <w:tcPr>
            <w:tcW w:type="dxa" w:w="3713"/>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13,174.6</w:t>
            </w:r>
          </w:p>
        </w:tc>
      </w:tr>
    </w:tbl>
    <w:p>
      <w:pPr>
        <w:spacing w:after="160" w:line="320"/>
        <w:jc w:val="both"/>
      </w:pPr>
      <w:r>
        <w:t xml:space="preserve">Over the evaluation window the selected signal switches 51 times, a mean state duration of 15.1 days, against 58 switches for the maximum-likelihood comparator; the two agree on 95.8 per cent of days. Its external validity is the stronger evidence, because the estimator sees only standardised daily returns: no volatility index, no realised measure and no crisis labels. Mean VIX nonetheless rises monotonically across the three states, from 14.4 through 21.9 to 37.9; the rank correlation between state and VIX is 0.78; and against the volatility index's own terciles the crisis state contains not one day from the lowest against 437 from the highest, while the calm state contains 1,741 against 106.</w:t>
      </w:r>
    </w:p>
    <w:p>
      <w:pPr>
        <w:pStyle w:val="Caption"/>
      </w:pPr>
      <w:r>
        <w:t xml:space="preserve">Table 4.6  Crisis episodes containing six named market events. The estimator is fitted unsupervised to standardised daily returns and is given no event dates; in every case the episode opens on the event day itself.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2900"/>
        <w:gridCol w:w="1426"/>
      </w:tblGrid>
      <w:tr>
        <w:trPr>
          <w:cantSplit/>
          <w:tblHeader/>
        </w:trPr>
        <w:tc>
          <w:tcPr>
            <w:tcW w:type="dxa" w:w="3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Event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Date</w:t>
            </w:r>
          </w:p>
        </w:tc>
        <w:tc>
          <w:tcPr>
            <w:tcW w:type="dxa" w:w="2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Episode</w:t>
            </w:r>
          </w:p>
        </w:tc>
        <w:tc>
          <w:tcPr>
            <w:tcW w:type="dxa" w:w="14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Length</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Reopening after 11 September 2001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2001-09-17</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2001-09-17 to 2001-10-03</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13 days</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Lehman Brothers filing</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2008-09-15</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2008-09-15 to 2008-12-24</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72 days</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Flash Crash</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2010-05-06</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2010-05-06</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day</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Brexit referendum result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2016-06-24</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2016-06-24 to 2016-07-01</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6 days</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Volmageddon</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2018-02-05</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2018-02-05 to 2018-02-15</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 days</w:t>
            </w:r>
          </w:p>
        </w:tc>
      </w:tr>
      <w:tr>
        <w:trPr>
          <w:cantSplit/>
          <w:tblHeader w:val="false"/>
        </w:trPr>
        <w:tc>
          <w:tcPr>
            <w:tcW w:type="dxa" w:w="3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COVID-19 onset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2020-02-25</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2020-02-25 to 2020-05-08</w:t>
            </w:r>
          </w:p>
        </w:tc>
        <w:tc>
          <w:tcPr>
            <w:tcW w:type="dxa" w:w="14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52 days</w:t>
            </w:r>
          </w:p>
        </w:tc>
      </w:tr>
    </w:tbl>
    <w:p>
      <w:pPr>
        <w:spacing w:after="160" w:line="320"/>
        <w:jc w:val="both"/>
      </w:pPr>
      <w:r>
        <w:t xml:space="preserve">Table 4.6 makes the same point differently. The state path contains 50 crisis episodes across the sample, and the dates on which they open recover the market's history without having been given any of it: the episode spanning the reopening after 11 September 2001 opens on that day, the episode spanning the Lehman Brothers filing opens on 15 September 2008 and runs to Christmas Eve, the Flash Crash is isolated as a single day, and the COVID-19 episode runs from 25 February to 8 May 2020.</w:t>
      </w:r>
    </w:p>
    <w:p>
      <w:pPr>
        <w:pStyle w:val="Heading2"/>
        <w:spacing w:after="180" w:before="320"/>
      </w:pPr>
      <w:r>
        <w:rPr>
          <w:rFonts w:ascii="Calibri" w:cs="Calibri" w:eastAsia="Calibri" w:hAnsi="Calibri"/>
          <w:b/>
          <w:bCs/>
          <w:color w:val="111111"/>
          <w:sz w:val="26"/>
          <w:szCs w:val="26"/>
        </w:rPr>
        <w:t xml:space="preserve">Point accuracy</w:t>
      </w:r>
    </w:p>
    <w:p>
      <w:pPr>
        <w:spacing w:after="160" w:line="320"/>
        <w:jc w:val="both"/>
      </w:pPr>
      <w:r>
        <w:t xml:space="preserve">Table 4.7 ranks every specification on the evaluation block by QLIKE, with the secondary and descriptive losses of Table 3.4 beside it. The ordering separates the two econometric traditions sharply. The three conditional-variance baselines and the reference floor occupy the last four places, and HAR-RV, the benchmark on this target, sits ninth of thirteen at 0.2745; GARCH's loss is 20 per cent higher than that and the random walk's 31 per cent higher. Every network specification except the quantile head is ahead of HAR-RV, and the best of them, the realised-volatility-only ablation, reaches 0.2596, a reduction of 5.4 per cent. The three specifications that carry the regime signal occupy the second, third and fourth places, separated from one another by 0.0005.</w:t>
      </w:r>
    </w:p>
    <w:p>
      <w:pPr>
        <w:pStyle w:val="Caption"/>
      </w:pPr>
      <w:r>
        <w:t xml:space="preserve">Table 4.7  Pooled out-of-sample loss over the 784-day test block, ranked by QLIKE. Mean squared error is in units of 1e-8 and mean absolute error in units of 1e-4. The Model Confidence Set is computed over the nine point-forecasting specifications; a dash marks a model outside that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300"/>
        <w:gridCol w:w="2226"/>
      </w:tblGrid>
      <w:tr>
        <w:trPr>
          <w:cantSplit/>
          <w:tblHeader/>
        </w:trPr>
        <w:tc>
          <w:tcPr>
            <w:tcW w:type="dxa" w:w="2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3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QLIKE</w:t>
            </w:r>
          </w:p>
        </w:tc>
        <w:tc>
          <w:tcPr>
            <w:tcW w:type="dxa" w:w="13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MSE</w:t>
            </w:r>
          </w:p>
        </w:tc>
        <w:tc>
          <w:tcPr>
            <w:tcW w:type="dxa" w:w="13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MAE</w:t>
            </w:r>
          </w:p>
        </w:tc>
        <w:tc>
          <w:tcPr>
            <w:tcW w:type="dxa" w:w="22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Confidence set</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0.2596</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4.02</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0.606</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0.2617</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4.15</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0.647</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0.2619</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4.16</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0.537</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0.2621</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4.16</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0.538</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0.2632</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4.03</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0.581</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0.2650</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4.48</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0.586</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0.2650</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4.48</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0.586</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0.2652</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4.49</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0.587</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0.2745</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4.18</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0.605</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Retained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0.3216</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5.13</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0.573</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0.3302</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5.63</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0.717</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Excluded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0.3328</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5.67</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0.690</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Excluded</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0.3584</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5.28</w:t>
            </w:r>
          </w:p>
        </w:tc>
        <w:tc>
          <w:tcPr>
            <w:tcW w:type="dxa" w:w="13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0.658</w:t>
            </w:r>
          </w:p>
        </w:tc>
        <w:tc>
          <w:tcPr>
            <w:tcW w:type="dxa" w:w="2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Excluded</w:t>
            </w:r>
          </w:p>
        </w:tc>
      </w:tr>
    </w:tbl>
    <w:p>
      <w:pPr>
        <w:spacing w:after="160" w:line="320"/>
        <w:jc w:val="both"/>
      </w:pPr>
      <w:r>
        <w:t xml:space="preserve">That ordering does not survive as a claim of significance, and the two tests of Section 3.7 say so in different ways. Pairwise, the difference between the regime-conditioned mixture and HAR-RV is 0.0124 in mean loss with a Diebold-Mariano statistic of -0.741 and a p-value of 0.459; the same test on the regime-as-feature specification returns 0.462. The Model Confidence Set is the more informative instrument, because it controls the family-wise error the thirteen-way ranking would otherwise invite. At a size of 0.10 it retains six specifications, and HAR-RV is one of them, at a p-value of 0.321. What it excludes, at p-values of 0.0005 and below, is exactly the conditional-variance family and the reference floor.</w:t>
      </w:r>
    </w:p>
    <w:p>
      <w:pPr>
        <w:spacing w:after="160" w:line="320"/>
        <w:jc w:val="both"/>
      </w:pPr>
      <w:r>
        <w:t xml:space="preserve">Neither of the other two losses overturns the first result, and the disagreement between them is itself informative. Mean squared error, which is inside the proxy-robust class, leaves the same four specifications at the bottom and the same ablation at the top. Mean absolute error, which is not, reverses the network ordering almost completely: it ranks the two mixture specifications first and second, lifts the quantile head from tenth place to third, and puts the QLIKE leader ninth, within 0.2 per cent of HAR-RV. Section 3.7 admits mean absolute error as descriptive and refuses to rank on it for precisely this reason, and the divergence is a measured instance of the proxy problem rather than an inconsistency in the results.</w:t>
      </w:r>
    </w:p>
    <w:p>
      <w:pPr>
        <w:pStyle w:val="Heading2"/>
        <w:spacing w:after="180" w:before="320"/>
      </w:pPr>
      <w:r>
        <w:rPr>
          <w:rFonts w:ascii="Calibri" w:cs="Calibri" w:eastAsia="Calibri" w:hAnsi="Calibri"/>
          <w:b/>
          <w:bCs/>
          <w:color w:val="111111"/>
          <w:sz w:val="26"/>
          <w:szCs w:val="26"/>
        </w:rPr>
        <w:t xml:space="preserve">State dependence</w:t>
      </w:r>
    </w:p>
    <w:p>
      <w:pPr>
        <w:spacing w:after="160" w:line="320"/>
        <w:jc w:val="both"/>
      </w:pPr>
      <w:r>
        <w:t xml:space="preserve">Research question two asks not whether the regime-conditioned specifications are better on average but whether the state known at the forecast origin predicts which model will be better. Table 4.8 splits the same losses on the lagged filtered state, and the pooled figures of Table 4.7 conceal a reversal. Every network specification beats HAR-RV in the transitional state, by between 18 and 22 per cent, the mixture furthest at 0.1851 against 0.2367. In the calm state the three specifications that take the daily return alongside realised-volatility history fall behind HAR-RV, while the two restricted to realised-volatility history alone remain ahead of it. In the crisis state, on 76 days, HAR-RV is ahead of every network except the regime-as-feature specification, and the margins are small.</w:t>
      </w:r>
    </w:p>
    <w:p>
      <w:pPr>
        <w:pStyle w:val="Caption"/>
      </w:pPr>
      <w:r>
        <w:t xml:space="preserve">Table 4.8  QLIKE by market state, bucketed on the state known at the forecast origin as Section 3.7 requires. Day counts are given in the column headings; the pooled column repeats Table 4.7.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700"/>
        <w:gridCol w:w="1500"/>
        <w:gridCol w:w="1726"/>
      </w:tblGrid>
      <w:tr>
        <w:trPr>
          <w:cantSplit/>
          <w:tblHeader/>
        </w:trPr>
        <w:tc>
          <w:tcPr>
            <w:tcW w:type="dxa" w:w="2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Calm (379)</w:t>
            </w:r>
          </w:p>
        </w:tc>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Transitional (329)</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Crisis (76)</w:t>
            </w:r>
          </w:p>
        </w:tc>
        <w:tc>
          <w:tcPr>
            <w:tcW w:type="dxa" w:w="17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All (784)</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0.3008</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0.2367</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0.3070</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0.2745</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0.3187</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0.1921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0.3131</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0.2650</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0.2829</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0.2182</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0.3232</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0.2596</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0.3164</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0.1945</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0.2952</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0.2632</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0.2920</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0.2158</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0.3099</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0.2617</w:t>
            </w:r>
          </w:p>
        </w:tc>
      </w:tr>
      <w:tr>
        <w:trPr>
          <w:cantSplit/>
          <w:tblHeader w:val="false"/>
        </w:trPr>
        <w:tc>
          <w:tcPr>
            <w:tcW w:type="dxa" w:w="2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0.3172</w:t>
            </w:r>
          </w:p>
        </w:tc>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0.1851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0.3211</w:t>
            </w:r>
          </w:p>
        </w:tc>
        <w:tc>
          <w:tcPr>
            <w:tcW w:type="dxa" w:w="17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0.2621</w:t>
            </w:r>
          </w:p>
        </w:tc>
      </w:tr>
    </w:tbl>
    <w:p>
      <w:pPr>
        <w:spacing w:after="160" w:line="320"/>
        <w:jc w:val="both"/>
      </w:pPr>
      <w:r>
        <w:t xml:space="preserve">The conditional test of Giacomini and White puts that pattern to a formal hypothesis. Against HAR-RV, with the three lagged state indicators as the conditioning set, the mixture specification returns a Wald statistic of 40.13 on three degrees of freedom and a p-value of 9.99e-09, so the identity of the better forecast is predictable from information available when the forecast is made. The pairwise comparison within the transitional state alone returns a mean loss difference of -0.0516 at a p-value of 4.29e-09. Section 3.7 declared that this statistic is computed with a mean-centred long-run covariance and undertook to measure the effect: recomputed without centring, the same statistic is 38.18 at a p-value of 2.59e-08, and across the thirty tests affected the shrinkage ranges from 0.12 to 4.87 per cent and changes no verdict.</w:t>
      </w:r>
    </w:p>
    <w:p>
      <w:pPr>
        <w:spacing w:after="160" w:line="320"/>
        <w:jc w:val="both"/>
      </w:pPr>
      <w:r>
        <w:t xml:space="preserve">Two checks establish that the transitional result is a property of the state rather than of a few days inside it. Of the 329 transitional days, 214, or 65.0 per cent, favour the mixture specification, a sign-test statistic of 5.46; and trimming the most extreme tenth from each tail moves the mean difference only from -0.0516 to -0.0466, while the ten most favourable days supply 29 per cent of the total. The multiplicity position is reported rather than assumed. Fifteen per-state pairwise tests are published, of which three reject at the five per cent level; applying the Holm correction across that family, two survive, both of them transitional comparisons against HAR-RV, at a smallest adjusted p-value of 6.44e-08. The calm-state result that does not survive is reported in Table 4.8 regardless.</w:t>
      </w:r>
    </w:p>
    <w:p>
      <w:pPr>
        <w:pStyle w:val="Heading2"/>
        <w:spacing w:after="180" w:before="320"/>
      </w:pPr>
      <w:r>
        <w:rPr>
          <w:rFonts w:ascii="Calibri" w:cs="Calibri" w:eastAsia="Calibri" w:hAnsi="Calibri"/>
          <w:b/>
          <w:bCs/>
          <w:color w:val="111111"/>
          <w:sz w:val="26"/>
          <w:szCs w:val="26"/>
        </w:rPr>
        <w:t xml:space="preserve">Interval quality</w:t>
      </w:r>
    </w:p>
    <w:p>
      <w:pPr>
        <w:spacing w:after="160" w:line="320"/>
        <w:jc w:val="both"/>
      </w:pPr>
      <w:r>
        <w:t xml:space="preserve">Research question three asks whether the stated uncertainty of a forecast can be trusted. Four specifications emit a predictive distribution: the two stochastic-pass models, the deterministic reference carrying an aleatoric-only band, and the distribution-free quantile head. Table 4.9 reports the interval criteria of Table 3.4 at the ninety per cent level, the only level at which all four are comparable. The combined specification is ahead on every one of them: the highest coverage, the narrowest band among the three that state a predictive law, the best interval score, and the best proper score once every method is rescored on the common three-point grid that Section 3.7 requires before the two families may be compared at all. On that grid it improves on the quantile head by 4.8 per cent.</w:t>
      </w:r>
    </w:p>
    <w:p>
      <w:pPr>
        <w:pStyle w:val="Caption"/>
      </w:pPr>
      <w:r>
        <w:t xml:space="preserve">Table 4.9  Interval criteria at the ninety per cent level. Mean width and the interval score are in units of 1e-4 and the proper score in units of 1e-5. The proper score is the common-grid figure of Section 3.7, so that the parametric and distribution-free families are compared on one basis.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500"/>
        <w:gridCol w:w="1600"/>
        <w:gridCol w:w="1626"/>
      </w:tblGrid>
      <w:tr>
        <w:trPr>
          <w:cantSplit/>
          <w:tblHeader/>
        </w:trPr>
        <w:tc>
          <w:tcPr>
            <w:tcW w:type="dxa" w:w="2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Method</w:t>
            </w:r>
          </w:p>
        </w:tc>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Coverage</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 width</w:t>
            </w:r>
          </w:p>
        </w:tc>
        <w:tc>
          <w:tcPr>
            <w:tcW w:type="dxa" w:w="16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Interval score</w:t>
            </w:r>
          </w:p>
        </w:tc>
        <w:tc>
          <w:tcPr>
            <w:tcW w:type="dxa" w:w="1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Proper score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0.866</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1.79</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4.09</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3.38</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0.864</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1.80</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4.20</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3.56</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0.865</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1.82</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4.20</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3.56</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0.821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1.60</w:t>
            </w:r>
          </w:p>
        </w:tc>
        <w:tc>
          <w:tcPr>
            <w:tcW w:type="dxa" w:w="16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4.32</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3.55</w:t>
            </w:r>
          </w:p>
        </w:tc>
      </w:tr>
    </w:tbl>
    <w:p>
      <w:pPr>
        <w:spacing w:after="160" w:line="320"/>
        <w:jc w:val="both"/>
      </w:pPr>
      <w:r>
        <w:t xml:space="preserve">None of the four is calibrated, and Table 4.10 locates the failure precisely. At a nominal ninety per cent the three law-stating specifications realise violation rates between 13.4 and 13.6 per cent and the quantile head 17.9 per cent, and the unconditional-coverage test rejects every one of them. The independence test rejects none, at p-values between 0.45 and 0.91, so the breaches are not clustered in time: the bands are the wrong width rather than the wrong shape. The same pattern holds at ninety-five per cent, where realised rates run from 7.7 to 8.0 per cent against an expected five. The upper tail is worse than the two-sided figure implies, at 8.3 per cent against an expected five for the combined specification with the dynamic-quantile test rejecting at 9.0e-06, and it is the tail on which a capital decision depends.</w:t>
      </w:r>
    </w:p>
    <w:p>
      <w:pPr>
        <w:pStyle w:val="Caption"/>
      </w:pPr>
      <w:r>
        <w:t xml:space="preserve">Table 4.10  Interval backtests at the ninety per cent level, two-sided. The unconditional-coverage test is Kupiec's, the independence test Christoffersen's, and the dynamic-quantile test is run incrementally as Section 3.7 specifies. Holm correction is applied within the family described there.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550"/>
        <w:gridCol w:w="1500"/>
        <w:gridCol w:w="1450"/>
        <w:gridCol w:w="1626"/>
      </w:tblGrid>
      <w:tr>
        <w:trPr>
          <w:cantSplit/>
          <w:tblHeader/>
        </w:trPr>
        <w:tc>
          <w:tcPr>
            <w:tcW w:type="dxa" w:w="2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Method</w:t>
            </w:r>
          </w:p>
        </w:tc>
        <w:tc>
          <w:tcPr>
            <w:tcW w:type="dxa" w:w="15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Violation rate</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Unconditional</w:t>
            </w:r>
          </w:p>
        </w:tc>
        <w:tc>
          <w:tcPr>
            <w:tcW w:type="dxa" w:w="14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Independence</w:t>
            </w:r>
          </w:p>
        </w:tc>
        <w:tc>
          <w:tcPr>
            <w:tcW w:type="dxa" w:w="1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Dynamic quantile</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13.4%</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0.0025</w:t>
            </w:r>
          </w:p>
        </w:tc>
        <w:tc>
          <w:tcPr>
            <w:tcW w:type="dxa" w:w="14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0.514</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0.016</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13.6%</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0.0012</w:t>
            </w:r>
          </w:p>
        </w:tc>
        <w:tc>
          <w:tcPr>
            <w:tcW w:type="dxa" w:w="14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0.909</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0.008</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13.5%</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0.0017</w:t>
            </w:r>
          </w:p>
        </w:tc>
        <w:tc>
          <w:tcPr>
            <w:tcW w:type="dxa" w:w="14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0.843</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0.014</w:t>
            </w:r>
          </w:p>
        </w:tc>
      </w:tr>
      <w:tr>
        <w:trPr>
          <w:cantSplit/>
          <w:tblHeader w:val="false"/>
        </w:trPr>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17.9%</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2.3e-11</w:t>
            </w:r>
          </w:p>
        </w:tc>
        <w:tc>
          <w:tcPr>
            <w:tcW w:type="dxa" w:w="14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0.455</w:t>
            </w:r>
          </w:p>
        </w:tc>
        <w:tc>
          <w:tcPr>
            <w:tcW w:type="dxa" w:w="1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2.9e-11</w:t>
            </w:r>
          </w:p>
        </w:tc>
      </w:tr>
    </w:tbl>
    <w:p>
      <w:pPr>
        <w:spacing w:after="160" w:line="320"/>
        <w:jc w:val="both"/>
      </w:pPr>
      <w:r>
        <w:t xml:space="preserve">Section 3.7 undertook to measure how wrong the spread is rather than to correct it. Multiplying the fitted predictive standard deviation by 1.11 brings coverage to 90.1 per cent, and the scale minimising the proper score is 1.18, on a plateau running from 1.11 to 1.25. Broken out by state the constant is 1.24 in the calm state against 1.01 and 1.02 in the transitional and crisis states, so almost all of the miscalibration is calm-state miscalibration. The second clause of research question three, whether the width adapts to the state, is answered in the negative and by construction: the mean predictive standard deviation on the log scale is 0.5974, 0.5965 and 0.6004 across the three states while the width itself spans 5.1e-5 to 9.3e-4, and the epistemic component supplies 0.43 per cent of predictive variance. Section 3.5 anticipated this, a single recurrent layer leaving the dropout mask on the output layer alone.</w:t>
      </w:r>
    </w:p>
    <w:p>
      <w:pPr>
        <w:pStyle w:val="Heading2"/>
        <w:spacing w:after="180" w:before="320"/>
      </w:pPr>
      <w:r>
        <w:rPr>
          <w:rFonts w:ascii="Calibri" w:cs="Calibri" w:eastAsia="Calibri" w:hAnsi="Calibri"/>
          <w:b/>
          <w:bCs/>
          <w:color w:val="111111"/>
          <w:sz w:val="26"/>
          <w:szCs w:val="26"/>
        </w:rPr>
        <w:t xml:space="preserve">Transfer to further markets</w:t>
      </w:r>
    </w:p>
    <w:p>
      <w:pPr>
        <w:spacing w:after="160" w:line="320"/>
        <w:jc w:val="both"/>
      </w:pPr>
      <w:r>
        <w:t xml:space="preserve">Research question four asks whether those findings are properties of the method or of the market it was developed on. The reduced design of Section 3.9 re-runs the econometric baselines and the regime-conditioned mixture on the Russell 2000 and the FTSE 100, with the state model re-estimated on each asset rather than carried across. Table 4.11 gives the outcome. On both, the mixture is ahead of HAR-RV in level and the pooled test does not detect it, as on the reference asset. The two diverge on the conditional test: on the Russell 2000 it rejects at 0.0087, reproducing the S&amp;P 500 conjunction in full, while on the FTSE 100 it returns 0.254, so the state dependence the finding rests on does not reproduce. All three assets selected the same pre-registered penalty, with test-window mean state durations of 15.1, 19.2 and 12.6 days.</w:t>
      </w:r>
    </w:p>
    <w:p>
      <w:pPr>
        <w:pStyle w:val="Caption"/>
      </w:pPr>
      <w:r>
        <w:t xml:space="preserve">Table 4.11  The reduced replication of Section 3.9. Losses are QLIKE over each asset's own evaluation block; the conditional test is Giacomini-White on the three lagged state indicators. The FTSE 100 loses two days to the calendar join, as Section 3.9 undertakes to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750"/>
        <w:gridCol w:w="1400"/>
        <w:gridCol w:w="1550"/>
        <w:gridCol w:w="1826"/>
      </w:tblGrid>
      <w:tr>
        <w:trPr>
          <w:cantSplit/>
          <w:tblHeader/>
        </w:trPr>
        <w:tc>
          <w:tcPr>
            <w:tcW w:type="dxa" w:w="2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Asset</w:t>
            </w:r>
          </w:p>
        </w:tc>
        <w:tc>
          <w:tcPr>
            <w:tcW w:type="dxa" w:w="17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Regime-LSTM-B</w:t>
            </w:r>
          </w:p>
        </w:tc>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HAR-RV</w:t>
            </w:r>
          </w:p>
        </w:tc>
        <w:tc>
          <w:tcPr>
            <w:tcW w:type="dxa" w:w="155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Pooled test</w:t>
            </w:r>
          </w:p>
        </w:tc>
        <w:tc>
          <w:tcPr>
            <w:tcW w:type="dxa" w:w="1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Conditional test</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S&amp;P 500 (784 days)</w:t>
            </w:r>
          </w:p>
        </w:tc>
        <w:tc>
          <w:tcPr>
            <w:tcW w:type="dxa" w:w="17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0.2621</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0.2745</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0.459</w:t>
            </w:r>
          </w:p>
        </w:tc>
        <w:tc>
          <w:tcPr>
            <w:tcW w:type="dxa" w:w="1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9.99e-09</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Russell 2000 (788 days)</w:t>
            </w:r>
          </w:p>
        </w:tc>
        <w:tc>
          <w:tcPr>
            <w:tcW w:type="dxa" w:w="17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0.2143</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0.2260</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0.153</w:t>
            </w:r>
          </w:p>
        </w:tc>
        <w:tc>
          <w:tcPr>
            <w:tcW w:type="dxa" w:w="1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0.0087</w:t>
            </w:r>
          </w:p>
        </w:tc>
      </w:tr>
      <w:tr>
        <w:trPr>
          <w:cantSplit/>
          <w:tblHeader w:val="false"/>
        </w:trPr>
        <w:tc>
          <w:tcPr>
            <w:tcW w:type="dxa" w:w="2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FTSE 100 (795 days)</w:t>
            </w:r>
          </w:p>
        </w:tc>
        <w:tc>
          <w:tcPr>
            <w:tcW w:type="dxa" w:w="17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0.2905</w:t>
            </w:r>
          </w:p>
        </w:tc>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0.2997</w:t>
            </w:r>
          </w:p>
        </w:tc>
        <w:tc>
          <w:tcPr>
            <w:tcW w:type="dxa" w:w="155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0.605</w:t>
            </w:r>
          </w:p>
        </w:tc>
        <w:tc>
          <w:tcPr>
            <w:tcW w:type="dxa" w:w="1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0.254</w:t>
            </w:r>
          </w:p>
        </w:tc>
      </w:tr>
    </w:tbl>
    <w:p>
      <w:pPr>
        <w:spacing w:after="160" w:line="320"/>
        <w:jc w:val="both"/>
      </w:pPr>
      <w:r>
        <w:t xml:space="preserve">One asymmetry between the assets belongs to the measurement rather than to the method, and it bears on how Table 4.11 should be read. Over each asset's own evaluation block, the variance of the open-to-close return divided by the mean realised variance is 0.90 on the S&amp;P 500 and 1.17 on the FTSE 100, but 2.01 on the Russell 2000. A realised measure should exceed the squared session return rather than halve it, and the discrepancy is the non-synchronous trading that five-minute sampling induces in a two-thousand-constituent small-capitalisation index, a case Liu, Patton and Sheppard (2015) document. It is why the two conditional-variance baselines deteriorate on that asset, to 0.481 and 0.444, while HAR-RV and the mixture, which read the same realised series, improve. The comparison in Table 4.11 is unaffected because all three models there are scored against that one series, but the FTSE 100 is the cleaner test of transfer, and it is the one on which the conditional finding fails.</w:t>
      </w:r>
    </w:p>
    <w:p>
      <w:pPr>
        <w:pStyle w:val="Heading2"/>
        <w:spacing w:after="180" w:before="320"/>
      </w:pPr>
      <w:r>
        <w:rPr>
          <w:rFonts w:ascii="Calibri" w:cs="Calibri" w:eastAsia="Calibri" w:hAnsi="Calibri"/>
          <w:b/>
          <w:bCs/>
          <w:color w:val="111111"/>
          <w:sz w:val="26"/>
          <w:szCs w:val="26"/>
        </w:rPr>
        <w:t xml:space="preserve">Robustness</w:t>
      </w:r>
    </w:p>
    <w:p>
      <w:pPr>
        <w:spacing w:after="160" w:line="320"/>
        <w:jc w:val="both"/>
      </w:pPr>
      <w:r>
        <w:t xml:space="preserve">Six checks bound the confidence the preceding sections may be given, and Table 4.12 collects them. Each varies one element of the design and asks whether a reported conclusion moves. Five leave the conclusions intact. The frozen training protocol costs the networks about 1.6 per cent, so the reported margin is a conservative lower bound rather than a flattering one. Fitting the benchmark in logarithms rather than levels raises its loss to 0.4886, which disposes of the objection that the networks win only because they model a transformed target. The state-dependence finding survives replacement of the penalised state estimator by the maximum-likelihood one, at a conditional p-value of 2.0e-05. The centring that Section 3.7 declares changes no verdict across thirty tests. And an independent implementation re-derives 943 published values without a single disagreement.</w:t>
      </w:r>
    </w:p>
    <w:p>
      <w:pPr>
        <w:pStyle w:val="Caption"/>
      </w:pPr>
      <w:r>
        <w:t xml:space="preserve">Table 4.12  Six robustness checks. Each varies one element of the design and reports whether a conclusion of Sections 4.6 to 4.9 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22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Check</w:t>
            </w:r>
          </w:p>
        </w:tc>
        <w:tc>
          <w:tcPr>
            <w:tcW w:type="dxa" w:w="2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42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Outcome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Initialisation</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pooled ordering is stable across random seeds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Five seeds over the four leading specifications: standard deviation 0.0062 against a published gap of 0.0025, and the five-seed mean reverses the ordering</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Refit cadence</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What the frozen training protocol costs the networks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Refitting at the baselines' monthly cadence lowers the unconditional network from 0.2650 to 0.2607, so the protocol is conservative by 1.6 per cent</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Benchmark specification</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networks win only by modelling a transformed target</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HAR-RV fitted in logarithms returns 0.4886 against 0.2745 in levels, on identical folds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State estimator</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state dependence depends on the penalised estimator</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Re-run on the maximum-likelihood estimator, the transitional advantage holds at 0.1951 against 0.2409, conditional test 2.0e-05</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Test construction</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declared centring of the conditional test matters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Thirty tests recomputed without centring: shrinkage from 0.12 to 4.87 per cent, no verdict changes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Reproducibility</w:t>
            </w:r>
          </w:p>
        </w:tc>
        <w:tc>
          <w:tcPr>
            <w:tcW w:type="dxa" w:w="2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reported values re-derive from the persisted forecasts</w:t>
            </w:r>
          </w:p>
        </w:tc>
        <w:tc>
          <w:tcPr>
            <w:tcW w:type="dxa" w:w="42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An independent implementation re-derives 943 published values: 941 agree, two are skipped, none disagree</w:t>
            </w:r>
          </w:p>
        </w:tc>
      </w:tr>
    </w:tbl>
    <w:p>
      <w:pPr>
        <w:spacing w:after="160" w:line="320"/>
        <w:jc w:val="both"/>
      </w:pPr>
      <w:r>
        <w:t xml:space="preserve">The sixth check qualifies the pooled ranking materially and is reported for that reason. Refitting the four leading specifications under five random initialisations leaves the mixture with a standard deviation of 0.0062 across seeds and a range of 0.0164, against a published margin over the realised-volatility-only ablation of 0.0025. On the five-seed mean the ordering of Table 4.7 reverses, the regime-conditioned ablation taking first place. The published seed reproduces its fits to within 6e-17, so this is initialisation variance rather than an error, but it means the pooled ordering among the leading specifications is not resolved by the evidence assembled here. The conditional result of Section 4.7 is a different quantity and is not affected by it: that result rests on 329 days at a p-value below 1e-08.</w:t>
      </w:r>
    </w:p>
    <w:p>
      <w:pPr>
        <w:pStyle w:val="Heading2"/>
        <w:spacing w:after="180" w:before="320"/>
      </w:pPr>
      <w:r>
        <w:rPr>
          <w:rFonts w:ascii="Calibri" w:cs="Calibri" w:eastAsia="Calibri" w:hAnsi="Calibri"/>
          <w:b/>
          <w:bCs/>
          <w:color w:val="111111"/>
          <w:sz w:val="26"/>
          <w:szCs w:val="26"/>
        </w:rPr>
        <w:t xml:space="preserve">Summary</w:t>
      </w:r>
    </w:p>
    <w:p>
      <w:pPr>
        <w:spacing w:after="160" w:line="320"/>
        <w:jc w:val="both"/>
      </w:pPr>
      <w:r>
        <w:t xml:space="preserve">This chapter has reported what the method returns on one equity index over 784 evaluation days. On point accuracy the network specifications lower QLIKE against HAR-RV by up to 5.4 per cent, but no pairwise test detects the difference and the confidence set retains the benchmark; what it excludes is the conditional-variance family (Table 4.7). Conditioning on the market state does not lower average loss but relocates the advantage: every network is ahead in the transitional state, the mixture by 21.8 per cent, and the state known at the forecast origin predicts which model will win (Table 4.8). The prediction intervals under-cover at both nominal levels, the failure being one of level rather than of clustering, and their width does not adapt to the state (Tables 4.9 and 4.10). The finding reproduces on a second index within the same session and not on a second market (Table 4.11). Chapter 5 takes up why the benchmark is so hard to displace in the pooled comparison, why the advantage concentrates where it does, and why the calm state carries almost all of the miscalibration.</w:t>
      </w:r>
    </w:p>
    <w:p>
      <w:pPr>
        <w:pStyle w:val="Heading1"/>
        <w:spacing w:after="180" w:before="320"/>
      </w:pPr>
      <w:r>
        <w:rPr>
          <w:rFonts w:ascii="Calibri" w:cs="Calibri" w:eastAsia="Calibri" w:hAnsi="Calibri"/>
          <w:b/>
          <w:bCs/>
          <w:color w:val="111111"/>
          <w:sz w:val="30"/>
          <w:szCs w:val="30"/>
        </w:rPr>
        <w:t xml:space="preserve">References</w:t>
      </w:r>
    </w:p>
    <w:p>
      <w:pPr>
        <w:spacing w:after="160" w:line="320"/>
        <w:jc w:val="both"/>
      </w:pPr>
      <w:r>
        <w:t xml:space="preserve">Andersen, T.G., Bollerslev, T., Diebold, F.X. and Labys, P., 2003. Modeling and forecasting realized volatility. Econometrica, 71(2), pp.579–625. https://doi.org/10.1111/1468-0262.00418</w:t>
      </w:r>
    </w:p>
    <w:p>
      <w:pPr>
        <w:spacing w:after="160" w:line="320"/>
        <w:jc w:val="both"/>
      </w:pPr>
      <w:r>
        <w:t xml:space="preserve">Cont, R., 2001. Empirical properties of asset returns: stylized facts and statistical issues. Quantitative Finance, 1(2), pp.223–236. https://doi.org/10.1080/713665670</w:t>
      </w:r>
    </w:p>
    <w:p>
      <w:pPr>
        <w:spacing w:after="160" w:line="320"/>
        <w:jc w:val="both"/>
      </w:pPr>
      <w:r>
        <w:t xml:space="preserve">Heber, G., Lunde, A., Shephard, N. and Sheppard, K., 2009. Oxford-Man Institute's realized library. Oxford-Man Institute, University of Oxford.</w:t>
      </w:r>
    </w:p>
    <w:p>
      <w:pPr>
        <w:spacing w:after="160" w:line="320"/>
        <w:jc w:val="both"/>
      </w:pPr>
      <w:r>
        <w:t xml:space="preserve">Liu, L.Y., Patton, A.J. and Sheppard, K., 2015. Does anything beat 5-minute RV? A comparison of realized measures across multiple asset classes. Journal of Econometrics, 187(1), pp.293–311. https://doi.org/10.1016/j.jeconom.2015.02.008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uiPriority w:val="35"/>
    <w:unhideWhenUsed/>
    <w:qFormat/>
    <w:pPr>
      <w:spacing w:after="200" w:line="240" w:lineRule="auto"/>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