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Chapter 1: 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steady drift of prices than by the irregular intensity with which those prices fluctuate. The collapse of Lehman Brothers in September 2008 wiped trillions of dollars from global equity markets within weeks (Brunnermeier,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where volatility is persistent, clustered, leptokurtic, and asymmetric in its response to negative shocks (Mandelbrot, 1963; Cont,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practical and societal significance of volatility forecasting is therefore substantial. Risk managers depend on volatility estimates to size positions, allocate capital, and stress-test portfolios, derivatives traders rely on them to price contingent claims, and regulators use them to assess systemic stability under the Basel framework. Errors in these estimates are not academic, underestimating volatility during a regime shift can leave institutions undercapitalised and contribute to the procyclical deleveraging that has historically amplified crises (Brunnermeier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lastRenderedPageBreak/>
        <w:t>The dominant econometric framework for conditional volatility, originating with the Autoregressive Conditional Heteroskedasticity (ARCH) model of Engle (1982) and its 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where they shift between distinct regimes characterised by different mean returns, volatility levels, and correlation structures (Hamilton, 1989), and a single GARCH specification calibrated across regimes tends to deteriorate precisely when forecasts matter most, during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and in particular Long Short-Term Memory (LSTM) networks (Hochreiter and Schmidhuber, 1997), can capture non-linear, long-range temporal dependencies without imposing an explicit parametric form on the variance process. Hybrid and pure deep 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 an omission that is particularly damaging for downstream risk applications, where decision-making depends on the full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 xml:space="preserve">The aim of this research is to investigate whether regime-aware deep learning models endowed with uncertainty quantification can deliver more accurate and more reliable forecasts of </w:t>
      </w:r>
      <w:r>
        <w:lastRenderedPageBreak/>
        <w:t xml:space="preserve">realised equity-index volatility than either classical econometric models or standard deep learning baselines. To pursue this aim, four objectives are pursued: (i) to implement and benchmark econometric baselines on daily realised volatility constructed from intraday returns, namely GARCH(1,1) and EGARCH from the conditional-variance tradition together with the heterogeneous autoregressive model of realised volatility, HAR-RV (Corsi, 2009), which is the de facto benchmark on realised-volatility targets and therefore the baseline any deep alternative must clear, (ii) </w:t>
      </w:r>
      <w:r w:rsidRPr="00E303CD">
        <w:t xml:space="preserve">To develop an LSTM baseline over the same forecast horizon and evaluation splits, using an input set comparable to the econometric baselines, namely realised-volatility history as used by HAR-RV together with the daily return used by the GARCH family. To isolate the contribution of the deep architecture from that of the richer input set, the study also benchmarks </w:t>
      </w:r>
      <w:r w:rsidRPr="00223FA7">
        <w:t>a realised-volatility-only LSTM whose inputs match those of HAR-RV exactly. A further ablation adds the CBOE VIX as an auxiliary input</w:t>
      </w:r>
      <w:r>
        <w:t>,</w:t>
      </w:r>
      <w:r w:rsidRPr="00223FA7">
        <w:t xml:space="preserve"> because it draws on option-implied information that no other model in the comparison can access, it is reported separately rather than entered into the like-for-like benchmark</w:t>
      </w:r>
      <w:r>
        <w:t xml:space="preserve">, (iii) </w:t>
      </w:r>
      <w:r w:rsidRPr="009437F3">
        <w:t>to identify latent market regimes using probabilistic state-space methods, principally a Gaussian-emission Hidden Markov Model estimated with the jump penalty of Nystrup, Lindström and Madsen (2020), which suppresses the excessive state switching that would otherwise contaminate any forecast conditioned on it, and to condition the deep model</w:t>
      </w:r>
      <w:r>
        <w:t xml:space="preserve"> on the inferred state through two complementary architectures, a regime-as-feature model and a regime-specific mixture-of-experts, and (iv) to integrate uncertainty quantification through Monte Carlo Dropout and quantile regression, evaluating both the sharpness and the calibration of the resulting predictive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Methodologically, the project combines econometric, deep learning, and probabilistic components within a unified comparative-evaluation design. Realised volatility is measured as daily realised variance built from five-minute intraday returns (Andersen et al., 2003), sourced from the Oxford-Man Realized Library, econometric and deep-learning models are evaluated under a strict time-ordered split with anchored walk-forward out-of-sample prediction to prevent look-ahead bias, the econometric baselines being re-estimated on the expanding window at a monthly cadence while the deep models are estimated once on the pre-test sample and held fixed across the evaluation window, an asymmetry that is leakage-free but conservative towards the networks and is examined in Chapter 3, regimes are inferred from observable market signals using a jump-penalised Gaussian-emission HMM whose parameters and posterior are estimated on training data only, and uncertainty is estimated using stochastic forward passes (MC Dropout) and quantile-based loss functions. Models are compared on three point-forecast metrics which are MSE, MAE and QLIKE, the last adopted as the primary criterion for its robustness to an imperfect volatility proxy (Patton, 2011), and for uncertainty-aware variants, on coverage, sharpness and the proper scoring rules of Gneiting and Raftery (2007), namely the interval (Winkler) score and the continuous ranked probability score. Statistical significance is assessed with the Diebold-Mariano test for pairwise differences, the Giacomini-White test of conditional predictive ability where the question is whether one model is better in identifiable market states rather than on average (Giacomini and White, 2006), and the Model Confidence Set to control the family-wise error rate across the full set of competing models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 xml:space="preserve">The empirical analysis draws on two complementary data sources. The forecasting target is the daily realised variance of the S&amp;P 500, constructed from five-minute intraday returns in the sense of Andersen et al. (2003) and obtained from the Oxford-Man Realized Library (Heber et al., 2009). The series runs from 2000 to February 2022, when the library was discontinued, and this defines the sample period. Daily market data for the S&amp;P 500 (^GSPC) and the CBOE Volatility Index (^VIX) are taken from Yahoo Finance via the yfinance interface, supplemented where appropriate by individual large-cap equities, these supply the daily returns used by the GARCH-family baselines, the VIX as an auxiliary feature, </w:t>
      </w:r>
      <w:r w:rsidRPr="009437F3">
        <w:t>and the Yang-Zhang OHLC estimator, which is retained not as a competing forecasting target but as a target-validity diagnostic: its rolling-window construction imposes a degree of smoothing that the intraday measure does not, and demonstrating this is what justifies the choice of a genuine intraday realised-variance target</w:t>
      </w:r>
      <w:r>
        <w:t>. Together the series span multiple distinct market regimes, including the 2008 global financial crisis, the 2018 volatility shock, and the COVID-19 pandemic, and provide a transparent, fully reproducible foundation for the experiments that follow.</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720" w:hanging="720"/>
      </w:pPr>
      <w:r>
        <w:t>Andersen, T.G., Bollerslev, T., Diebold, F.X. and Labys, P., 2003. Modeling and forecasting realized volatility. Econometrica, 71(2), pp.579–625. https://doi.org/10.1111/1468-0262.00418</w:t>
      </w:r>
    </w:p>
    <w:p w14:paraId="75D48552" w14:textId="77777777" w:rsidR="00FC20F0" w:rsidRDefault="00FC20F0" w:rsidP="00FC20F0">
      <w:pPr>
        <w:spacing w:after="140" w:line="360" w:lineRule="auto"/>
        <w:ind w:left="720" w:hanging="720"/>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720" w:hanging="720"/>
      </w:pPr>
      <w:r>
        <w:t>Bollerslev, T., 1986. Generalized autoregressive conditional heteroskedasticity. Journal of Econometrics, 31(3), pp.307–327. https://doi.org/10.1016/0304-4076(86)90063-1</w:t>
      </w:r>
    </w:p>
    <w:p w14:paraId="5585BF37" w14:textId="77777777" w:rsidR="00FC20F0" w:rsidRDefault="00FC20F0" w:rsidP="00FC20F0">
      <w:pPr>
        <w:spacing w:after="140" w:line="360" w:lineRule="auto"/>
        <w:ind w:left="720" w:hanging="720"/>
      </w:pPr>
      <w:r>
        <w:t>Brunnermeier, M.K., 2009. Deciphering the liquidity and credit crunch 2007–2008. Journal of Economic Perspectives, 23(1), pp.77–100. https://doi.org/10.1257/jep.23.1.77</w:t>
      </w:r>
    </w:p>
    <w:p w14:paraId="07057CC5" w14:textId="77777777" w:rsidR="00FC20F0" w:rsidRDefault="00FC20F0" w:rsidP="00FC20F0">
      <w:pPr>
        <w:spacing w:after="140" w:line="360" w:lineRule="auto"/>
        <w:ind w:left="720" w:hanging="720"/>
      </w:pPr>
      <w:r>
        <w:t>Brunnermeier, M.K. and Pedersen, L.H., 2009. Market liquidity and funding liquidity. Review of Financial Studies, 22(6), pp.2201–2238. https://doi.org/10.1093/rfs/hhn098</w:t>
      </w:r>
    </w:p>
    <w:p w14:paraId="78905898" w14:textId="77777777" w:rsidR="00FC20F0" w:rsidRDefault="00FC20F0" w:rsidP="00FC20F0">
      <w:pPr>
        <w:spacing w:after="140" w:line="360" w:lineRule="auto"/>
        <w:ind w:left="720" w:hanging="720"/>
      </w:pPr>
      <w:r>
        <w:t>Bucci, A., 2020. Realized volatility forecasting with neural networks. Journal of Financial Econometrics, 18(3), pp.502–531. https://doi.org/10.1093/jjfinec/nbaa008</w:t>
      </w:r>
    </w:p>
    <w:p w14:paraId="54A3C6EA" w14:textId="77777777" w:rsidR="00FC20F0" w:rsidRDefault="00FC20F0" w:rsidP="00FC20F0">
      <w:pPr>
        <w:spacing w:after="140" w:line="360" w:lineRule="auto"/>
        <w:ind w:left="720" w:hanging="720"/>
      </w:pPr>
      <w:r>
        <w:t xml:space="preserve">Cont, R., 2001. Empirical properties of asset returns: stylized facts and statistical issues. Quantitative Finance, 1(2), pp.223–236. </w:t>
      </w:r>
      <w:hyperlink r:id="rId7" w:history="1">
        <w:r w:rsidRPr="00DE747B">
          <w:rPr>
            <w:rStyle w:val="Hyperlink"/>
          </w:rPr>
          <w:t>https://doi.org/10.1080/713665670</w:t>
        </w:r>
      </w:hyperlink>
    </w:p>
    <w:p w14:paraId="2A12D70D" w14:textId="77777777" w:rsidR="00FC20F0" w:rsidRDefault="00FC20F0" w:rsidP="00FC20F0">
      <w:pPr>
        <w:spacing w:after="140" w:line="360" w:lineRule="auto"/>
        <w:ind w:left="720" w:hanging="720"/>
      </w:pPr>
      <w:r w:rsidRPr="009844F9">
        <w:lastRenderedPageBreak/>
        <w:t>Corsi, F., 2009. A simple approximate long-memory model of realized volatility. Journal of Financial Econometrics, 7(2), pp.174–196. https://doi.org/10.1093/jjfinec/nbp001</w:t>
      </w:r>
    </w:p>
    <w:p w14:paraId="2FD0D19C" w14:textId="77777777" w:rsidR="00FC20F0" w:rsidRDefault="00FC20F0" w:rsidP="00FC20F0">
      <w:pPr>
        <w:spacing w:after="140" w:line="360" w:lineRule="auto"/>
        <w:ind w:left="720" w:hanging="720"/>
      </w:pPr>
      <w:r>
        <w:t>Engle, R.F., 1982. Autoregressive conditional heteroscedasticity with estimates of the variance of United Kingdom inflation. Econometrica, 50(4), pp.987–1007. https://doi.org/10.2307/1912773</w:t>
      </w:r>
    </w:p>
    <w:p w14:paraId="790616E0" w14:textId="77777777" w:rsidR="00FC20F0" w:rsidRDefault="00FC20F0" w:rsidP="00FC20F0">
      <w:pPr>
        <w:spacing w:after="140" w:line="360" w:lineRule="auto"/>
        <w:ind w:left="720" w:hanging="720"/>
      </w:pPr>
      <w:r>
        <w:t>Gal, Y. and Ghahramani, Z., 2016. Dropout as a Bayesian approximation: representing model uncertainty in deep learning. In: Proceedings of the 33rd International Conference on Machine Learning (ICML), New York, USA, 19–24 June 2016. PMLR 48, pp.1050–1059.</w:t>
      </w:r>
    </w:p>
    <w:p w14:paraId="79A87AF8" w14:textId="77777777" w:rsidR="00FC20F0" w:rsidRDefault="00FC20F0" w:rsidP="00FC20F0">
      <w:pPr>
        <w:spacing w:after="140" w:line="360" w:lineRule="auto"/>
        <w:ind w:left="720" w:hanging="720"/>
      </w:pPr>
      <w:r w:rsidRPr="002C785A">
        <w:t>Giacomini, R. and White, H., 2006. Tests of conditional predictive ability. Econometrica, 74(6), pp.1545–1578. https://doi.org/10.1111/j.1468-0262.2006.00718.x</w:t>
      </w:r>
    </w:p>
    <w:p w14:paraId="79A87AF8" w14:textId="77777777" w:rsidR="00FC20F0" w:rsidRDefault="00FC20F0" w:rsidP="00FC20F0">
      <w:pPr>
        <w:spacing w:after="140" w:line="360" w:lineRule="auto"/>
        <w:ind w:left="720" w:hanging="720"/>
      </w:pPr>
      <w:r w:rsidRPr="002C785A">
        <w:t>Gneiting, T. and Raftery, A.E., 2007. Strictly proper scoring rules, prediction, and estimation. Journal of the American Statistical Association, 102(477), pp.359–378. https://doi.org/10.1198/016214506000001437</w:t>
      </w:r>
    </w:p>
    <w:p w14:paraId="4F827600" w14:textId="77777777" w:rsidR="00FC20F0" w:rsidRDefault="00FC20F0" w:rsidP="00FC20F0">
      <w:pPr>
        <w:spacing w:after="140" w:line="360" w:lineRule="auto"/>
        <w:ind w:left="720" w:hanging="720"/>
      </w:pPr>
      <w:r>
        <w:t xml:space="preserve">Hamilton, J.D., 1989. A new approach to the economic analysis of nonstationary time series and the business cycle. Econometrica, 57(2), pp.357–384. </w:t>
      </w:r>
      <w:hyperlink r:id="rId8" w:history="1">
        <w:r w:rsidRPr="00CC4194">
          <w:rPr>
            <w:rStyle w:val="Hyperlink"/>
          </w:rPr>
          <w:t>https://doi.org/10.2307/1912559</w:t>
        </w:r>
      </w:hyperlink>
    </w:p>
    <w:p w14:paraId="5AF5CC38" w14:textId="77777777" w:rsidR="00FC20F0" w:rsidRDefault="00FC20F0" w:rsidP="00FC20F0">
      <w:pPr>
        <w:spacing w:after="140" w:line="360" w:lineRule="auto"/>
        <w:ind w:left="720" w:hanging="720"/>
      </w:pPr>
      <w:r w:rsidRPr="00B74E97">
        <w:t>Hansen, P.R., Lunde, A. and Nason, J.M., 2011. The model confidence set. Econometrica, 79(2), pp.453–497. https://doi.org/10.3982/ECTA5771</w:t>
      </w:r>
    </w:p>
    <w:p w14:paraId="22A8619A" w14:textId="77777777" w:rsidR="00FC20F0" w:rsidRDefault="00FC20F0" w:rsidP="00FC20F0">
      <w:pPr>
        <w:spacing w:after="140" w:line="360" w:lineRule="auto"/>
        <w:ind w:left="720" w:hanging="720"/>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720" w:hanging="720"/>
      </w:pPr>
      <w:r w:rsidRPr="00B411B3">
        <w:t xml:space="preserve">Hochreiter, S. and Schmidhuber, J., 1997. </w:t>
      </w:r>
      <w:r>
        <w:t>Long short-term memory. Neural Computation, 9(8), pp.1735–1780. https://doi.org/10.1162/neco.1997.9.8.1735</w:t>
      </w:r>
    </w:p>
    <w:p w14:paraId="2FE401F4" w14:textId="77777777" w:rsidR="00FC20F0" w:rsidRDefault="00FC20F0" w:rsidP="00FC20F0">
      <w:pPr>
        <w:spacing w:after="140" w:line="36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592BBA97" w14:textId="77777777" w:rsidR="00FC20F0" w:rsidRDefault="00FC20F0" w:rsidP="00FC20F0">
      <w:pPr>
        <w:spacing w:after="140" w:line="360" w:lineRule="auto"/>
        <w:ind w:left="720" w:hanging="720"/>
      </w:pPr>
      <w:r>
        <w:t xml:space="preserve">Mandelbrot, B., 1963. The variation of certain speculative prices. The Journal of Business, 36(4), pp.394–419. </w:t>
      </w:r>
      <w:hyperlink r:id="rId9" w:history="1">
        <w:r w:rsidRPr="00DE747B">
          <w:rPr>
            <w:rStyle w:val="Hyperlink"/>
          </w:rPr>
          <w:t>https://doi.org/10.1086/294632</w:t>
        </w:r>
      </w:hyperlink>
    </w:p>
    <w:p w14:paraId="7DA22199" w14:textId="77777777" w:rsidR="00FC20F0" w:rsidRDefault="00FC20F0" w:rsidP="00FC20F0">
      <w:pPr>
        <w:spacing w:after="140" w:line="360" w:lineRule="auto"/>
        <w:ind w:left="720" w:hanging="720"/>
      </w:pPr>
      <w:r w:rsidRPr="00953D9F">
        <w:t xml:space="preserve">Nystrup, P., Lindström, E. and Madsen, H., 2020. Learning hidden Markov models with persistent states by penalizing jumps. Expert Systems with Applications, 150, 113307. </w:t>
      </w:r>
      <w:hyperlink r:id="rId10" w:history="1">
        <w:r w:rsidRPr="00DE747B">
          <w:rPr>
            <w:rStyle w:val="Hyperlink"/>
          </w:rPr>
          <w:t>https://doi.org/10.1016/j.eswa.2020.113307</w:t>
        </w:r>
      </w:hyperlink>
    </w:p>
    <w:p w14:paraId="4FEFD641" w14:textId="77777777" w:rsidR="00FC20F0" w:rsidRDefault="00FC20F0" w:rsidP="00FC20F0">
      <w:pPr>
        <w:spacing w:after="140" w:line="360" w:lineRule="auto"/>
        <w:ind w:left="720" w:hanging="720"/>
      </w:pPr>
      <w:r w:rsidRPr="00953D9F">
        <w:t>Patton, A.J., 2011. Volatility forecast comparison using imperfect volatility proxies. Journal of Econometrics, 160(1), pp.246–256. https://doi.org/10.1016/j.jeconom.2010.03.034</w:t>
      </w:r>
    </w:p>
    <w:p w14:paraId="3EFB5634" w14:textId="77777777" w:rsidR="00FC20F0" w:rsidRDefault="00FC20F0" w:rsidP="00FC20F0">
      <w:pPr>
        <w:spacing w:after="140" w:line="360" w:lineRule="auto"/>
        <w:ind w:left="720" w:hanging="720"/>
      </w:pPr>
      <w:r>
        <w:lastRenderedPageBreak/>
        <w:t xml:space="preserve">Poon, S.-H. and Granger, C.W.J., 2003. Forecasting volatility in financial markets: a review. Journal of Economic Literature, 41(2), pp.478–539. </w:t>
      </w:r>
      <w:hyperlink r:id="rId11" w:history="1">
        <w:r w:rsidRPr="001B6ACE">
          <w:rPr>
            <w:rStyle w:val="Hyperlink"/>
          </w:rPr>
          <w:t>https://doi.org/10.1257/.41.2.478</w:t>
        </w:r>
      </w:hyperlink>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