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AltHeading1"/>
        <w:spacing w:after="180" w:before="320"/>
      </w:pPr>
      <w:r>
        <w:rPr>
          <w:rFonts w:ascii="Calibri" w:cs="Calibri" w:eastAsia="Calibri" w:hAnsi="Calibri"/>
          <w:b/>
          <w:bCs/>
          <w:color w:val="111111"/>
          <w:sz w:val="30"/>
          <w:szCs w:val="30"/>
        </w:rPr>
        <w:t xml:space="preserve">Appendices</w:t>
      </w:r>
    </w:p>
    <w:p>
      <w:pPr>
        <w:pStyle w:val="AltHeading2"/>
        <w:spacing w:after="180" w:before="320"/>
      </w:pPr>
      <w:r>
        <w:rPr>
          <w:rFonts w:ascii="Calibri" w:cs="Calibri" w:eastAsia="Calibri" w:hAnsi="Calibri"/>
          <w:b/>
          <w:bCs/>
          <w:color w:val="111111"/>
          <w:sz w:val="26"/>
          <w:szCs w:val="26"/>
        </w:rPr>
        <w:t xml:space="preserve">Appendix C: Specification and supporting tables</w:t>
      </w:r>
    </w:p>
    <w:p>
      <w:pPr>
        <w:pStyle w:val="Caption"/>
        <w:keepNext/>
      </w:pPr>
      <w:r>
        <w:t>Table C.1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fitted conditional mean of log RVt, which every network returns; for the stochastic model, the average over its passes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σ̂t2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The total predictive variance of log RVt on day t: epistemic plus aleatoric</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3.5</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Eq. 3.6</w:t>
            </w:r>
          </w:p>
        </w:tc>
      </w:tr>
    </w:tbl>
    <w:p>
      <w:pPr>
        <w:pStyle w:val="Caption"/>
        <w:keepNext/>
      </w:pPr>
      <w:r>
        <w:t>Table C.2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open-to-close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 in logs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pStyle w:val="Caption"/>
        <w:keepNext/>
      </w:pPr>
      <w:r>
        <w:t xml:space="preserve">Table C.3  Hyperparameters: meaning, candidates, selection and expected effect. The first five rows govern the regime estimator of Section 3.3, the rest the networks of Sections 3.4 to 3.6. Selected values are reported in Section 4.4 and Table C.6, being outcomes of the procedure. The three swept quantities give eighteen configurations; their ranges bracket what they control — the lookback grid spans HAR-RV's twenty-two-day reach, the width grid the capacity a sample of this size can identify, and the two learning rates the conventional range for this optimiser.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Jump penalty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cost charged whenever the state path changes (Equation 3.2)</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1, 3, 10, 30, 100, 300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Smallest value clearing the persistence floor, on training rows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persistence at the cost of responsiveness; at zero the objective is atemporal clustering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Persistence floor</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mean state duration the selected penalty must achieve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Set in advance, with the grid and the rule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Forces a smoother path; too long a floor suppresses genuine short-lived regimes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State count</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Number of latent market states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2, 3, 4</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three; the criterion is a sensitivity, not the selector</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Dilutes interpretation and invites overfitting at this sample size; Section 3.3 gives the interpretability grounds for fixing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Emission covariance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shape of each state's Gaussian</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unrestricted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 diagonal form would constrain each state's shape and change the criterion's parameter count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Estimator restarts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Random initialisations of a non-convex fit</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the best fit is kept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Lowers the chance of a poor local optimum at linear cost; the keep-rule is highest likelihood for the maximum-likelihood fit and lowest objective for the penalised path</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10, 20, 40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32, 64, 128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1e-3, 1e-4</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QLIKE</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pStyle w:val="Caption"/>
        <w:keepNext/>
      </w:pPr>
      <w:r>
        <w:t>Table C.4  Settings of the evaluation procedures. Table 3.4 states what each procedure establishes and cites its source; this table fixes the values at which each was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Procedure</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Settings as configured</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Loss computation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QLIKE primary, MSE secondary; both arguments floored at 1e-16 before any logarithm or division.</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Diebold–Mariano</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Newey–West Bartlett long-run variance, the lag the larger of h − 1 and the integer part of the cube root of n, hence 9 at n = 784; Harvey–Leybourne–Newbold small-sample rescaling; two-sided Student-t on n − 1 degrees of freedom. The lag is swept from 0 to 30 as a sensitivity.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Giacomini–White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set the three t−1 regime indicators, or a constant with the lagged loss differential; horizon 1, so no HAC lag. The long-run covariance is mean-centred, with the uncentred estimator reported beside it.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Confidence Set</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α = 0.10; range elimination statistic; stationary bootstrap, 2,000 replications, expected block length 10, seed 17.</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Interval levels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90% headline; 95% additionally for the methods stating a predictive law; endpoints floored at 1e-14 on the variance scale.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Coverage backtests</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Kupiec and Christoffersen likelihood ratios; dynamic quantile on a constant, four lagged hits and, where stated, the t−1 regime indicators.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Multiplicity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Holm within each family of method, level and tail, the size of the family reported on every row.</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Conditioning timing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Every conditional statistic buckets on the t−1 filtered state, and every regressor entering a conditional test is lagged to that same information set.</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 sampling</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 Monte Carlo dropout passes with mask seed 17; the quantile head trained at the 5th, 50th and 95th percentiles.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Reproducibility</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Seed 17 for every stochastic component; each run writes its resolved configuration and library versions beside its outputs.</w:t>
            </w:r>
          </w:p>
        </w:tc>
      </w:tr>
    </w:tbl>
    <w:p>
      <w:pPr>
        <w:pStyle w:val="Caption"/>
        <w:keepNext/>
      </w:pPr>
      <w:r>
        <w:t>Table C.5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Single precision; under a megabyte at any width in the Appendix C.3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Working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512 MB</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deep-learning framework's own footprint dominates; parameters and data together are under two megabytes. Chapter 4 reports the measured peak</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Software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Python 3.12 with the pinned dependency set; no accelerator libraries</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interpreter version is part of the specification (Section 3.8)</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Network access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Once, to acquire and cache the inputs; none thereafter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discontinued realised-measure library must be archived, not fetched on demand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Storage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Under 100 MB for the cached inputs and every published artefact</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Dominated by the raw realised-measure file, not by model outputs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Availability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public repository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github.com/BOBMSH/Regime-Aware-Deep-Learning-for-Volatility-Forecasting-with-Uncertainty-Quantification — implementation, configurations, pinned dependencies and one script that regenerates every artefact in dependency order; Chapter 4 names the commit the reported values were produced from</w:t>
            </w:r>
          </w:p>
        </w:tc>
      </w:tr>
    </w:tbl>
    <w:p>
      <w:pPr>
        <w:pStyle w:val="Caption"/>
        <w:keepNext/>
      </w:pPr>
      <w:r>
        <w:t xml:space="preserve">Table C.6  The configuration selected by the procedure of Section 3.6, and the measured cost of running the study at it. Candidates and the selection rule are in Table C.3; the epoch figures record that early stopping, not the ceiling, ended every fit.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Quantity</w:t>
            </w:r>
          </w:p>
        </w:tc>
        <w:tc>
          <w:tcPr>
            <w:tcW w:type="dxa" w:w="57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Hidden width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128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Lookback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10 trading days</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Learning rate</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1e-3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Configurations evaluated</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QLIKE at the selection</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0.2343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selected configuration in the search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32, against a ceiling of 150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frozen fits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23; the three experts 23, 29 and 28, against a ceiling of 90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Trainable parameters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67,713 for a single network; 203,139 for the mixture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End-to-end wall-clock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836 seconds, of which the search is 378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Peak working memory</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390 MB</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Accelerator</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None; four processor cores</w:t>
            </w:r>
          </w:p>
        </w:tc>
      </w:tr>
    </w:tbl>
    <w:p>
      <w:pPr>
        <w:pStyle w:val="Caption"/>
        <w:keepNext/>
      </w:pPr>
      <w:r>
        <w:t xml:space="preserve">Table C.7  Selection of the jump penalty on training rows, by the persistence rule of Section 3.3. The selected value is the smallest on the pre-registered grid that clears the floor; Section 4.5 reports the finer sweep around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500"/>
        <w:gridCol w:w="3526"/>
      </w:tblGrid>
      <w:tr>
        <w:trPr>
          <w:cantSplit/>
          <w:tblHeader/>
        </w:trPr>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Penalty</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Switches</w:t>
            </w:r>
          </w:p>
        </w:tc>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 duration, days</w:t>
            </w:r>
          </w:p>
        </w:tc>
        <w:tc>
          <w:tcPr>
            <w:tcW w:type="dxa" w:w="3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Clears the floor</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1,196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76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51.9</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 and selected</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363.0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570.4</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998.3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3,993.0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bl>
    <w:p>
      <w:pPr>
        <w:pStyle w:val="Caption"/>
        <w:keepNext/>
      </w:pPr>
      <w:r>
        <w:t xml:space="preserve">Table C.8  The Bayesian information criterion over the candidate state counts, for both estimators. Reported as a sensitivity and not as the selector: the count is fixed at three in Section 3.3, and the two estimators do not agree on the minimum.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States</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Baum-Welch criterion</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Penalised criterion</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13,306.9</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13,705.7</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12,820.2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13,237.4</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4</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12,825.0</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13,174.6</w:t>
            </w:r>
          </w:p>
        </w:tc>
      </w:tr>
    </w:tbl>
    <w:p>
      <w:pPr>
        <w:pStyle w:val="Caption"/>
        <w:keepNext/>
      </w:pPr>
      <w:r>
        <w:t xml:space="preserve">Table C.9  Six robustness checks, each varying one element of the design and reporting whether a conclusion of Chapter 4 moves. Section 4.10 discusses the one check that qualifies a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Check</w:t>
            </w:r>
          </w:p>
        </w:tc>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42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Outcome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pooled ordering is stable across random seeds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Five seeds over the four leading specifications: standard deviation 0.0062 against a published gap of 0.0025, and the five-seed mean reverses the ordering</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 cadence</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What the frozen training protocol costs the networks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Refitting at the baselines' monthly cadence lowers the unconditional network from 0.2650 to 0.2607, so the protocol is conservative by 1.6 per cent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Benchmark specification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networks win only by modelling a transformed target</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HAR-RV fitted in logarithms returns 0.4886 against 0.2745 in levels, on identical folds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State estimator</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state dependence depends on the penalised estimator</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Re-run on the maximum-likelihood estimator, the transitional advantage holds at 0.1951 against 0.2409, conditional test 2.0e-05</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Test construction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declared centring of the conditional test matters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Thirty tests recomputed without centring: shrinkage from 0.12 to 4.87 per cent, no verdict changes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Reproducibility</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reported values re-derive from the persisted forecasts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An independent implementation re-derives 943 published values: 941 agree, two are skipped, none disagree</w:t>
            </w:r>
          </w:p>
        </w:tc>
      </w:tr>
    </w:tbl>
    <w:p>
      <w:pPr>
        <w:pStyle w:val="Caption"/>
        <w:keepNext/>
      </w:pPr>
      <w:r>
        <w:t xml:space="preserve">Table C.10  The validation series and the division of its 5,530 modelling days under the split rule of Section 3.6. Section 4.2 reports the distributional properties of the test block.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Property</w:t>
            </w:r>
          </w:p>
        </w:tc>
        <w:tc>
          <w:tcPr>
            <w:tcW w:type="dxa" w:w="64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Target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Oxford-Man Realized Library five-minute realised variance, S&amp;P 500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Construction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Sum of squared five-minute intraday returns</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Auxiliary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S&amp;P 500 daily open and close, and the CBOE VIX, from Yahoo Finance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Library coverage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 January 2000 to 25 February 2022, when the library was discontinued</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Observations in the library</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5,552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calendar join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warm-up</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Modelling frame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5,530 days, 3 February 2000 to 25 February 2022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Training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3,993 days, to 31 December 2015</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753 days, 4 January 2016 to 31 December 2018</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Test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784 days, 2 January 2019 to 25 February 2022</w:t>
            </w:r>
          </w:p>
        </w:tc>
      </w:tr>
    </w:tbl>
    <w:p>
      <w:pPr>
        <w:pStyle w:val="Caption"/>
        <w:keepNext/>
      </w:pPr>
      <w:r>
        <w:t xml:space="preserve">Table C.11  One forecast, end to end: 16 March 2020, against a realised variance of 41.21, discussed in Section 4.3. QLIKE is Equation 3.7; all variances are multiplied by ten thousand.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600"/>
        <w:gridCol w:w="1150"/>
        <w:gridCol w:w="2526"/>
      </w:tblGrid>
      <w:tr>
        <w:trPr>
          <w:cantSplit/>
          <w:tblHeader/>
        </w:trPr>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2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Forecast</w:t>
            </w:r>
          </w:p>
        </w:tc>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Actual / forecast</w:t>
            </w:r>
          </w:p>
        </w:tc>
        <w:tc>
          <w:tcPr>
            <w:tcW w:type="dxa" w:w="11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QLIKE</w:t>
            </w:r>
          </w:p>
        </w:tc>
        <w:tc>
          <w:tcPr>
            <w:tcW w:type="dxa" w:w="2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90% interval</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 (reference floor)</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26.29</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0.118</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2.30</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0.464</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15.57</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2.65</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0.673</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15.42</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4.71 to 34.84</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13.16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3.13</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0.990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 w:type="paragraph" w:customStyle="1" w:styleId="AltHeading1">
    <w:name w:val="Alt Heading 1"/>
    <w:basedOn w:val="Heading1"/>
    <w:qFormat/>
    <w:pPr>
      <w:numPr>
        <w:numId w:val="0"/>
      </w:numPr>
    </w:pPr>
  </w:style>
  <w:style w:type="paragraph" w:customStyle="1" w:styleId="AltHeading2">
    <w:name w:val="Alt Heading 2"/>
    <w:basedOn w:val="Heading2"/>
    <w:qFormat/>
    <w:pPr>
      <w:numPr>
        <w:ilvl w:val="0"/>
        <w:numId w:val="0"/>
      </w:numP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