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20"/>
      </w:pPr>
      <w:r>
        <w:rPr>
          <w:rFonts w:ascii="Calibri" w:cs="Calibri" w:eastAsia="Calibri" w:hAnsi="Calibri"/>
          <w:b/>
          <w:bCs/>
          <w:color w:val="111111"/>
          <w:sz w:val="30"/>
          <w:szCs w:val="30"/>
        </w:rPr>
        <w:t xml:space="preserve">Results</w:t>
      </w:r>
    </w:p>
    <w:p>
      <w:pPr>
        <w:pStyle w:val="Heading2"/>
        <w:spacing w:after="180" w:before="320"/>
      </w:pPr>
      <w:r>
        <w:rPr>
          <w:rFonts w:ascii="Calibri" w:cs="Calibri" w:eastAsia="Calibri" w:hAnsi="Calibri"/>
          <w:b/>
          <w:bCs/>
          <w:color w:val="111111"/>
          <w:sz w:val="26"/>
          <w:szCs w:val="26"/>
        </w:rPr>
        <w:t xml:space="preserve">Introduction</w:t>
      </w:r>
    </w:p>
    <w:p>
      <w:pPr>
        <w:spacing w:after="160" w:line="320"/>
        <w:jc w:val="both"/>
      </w:pPr>
      <w:r>
        <w:t xml:space="preserve">This chapter reports what the method of Chapter 3 returns on a single equity index. The thirteen specifications of Appendix C.2 are scored on one held-out block of 784 trading days under the losses and tests of Section 3.7, QLIKE primary, every conditional statistic bucketed on the state known at the forecast origin.</w:t>
      </w:r>
    </w:p>
    <w:p>
      <w:pPr>
        <w:spacing w:after="160" w:line="320"/>
        <w:jc w:val="both"/>
      </w:pPr>
      <w:r>
        <w:t xml:space="preserve">Four findings follow, the first disciplining the rest. The networks lower pooled QLIKE against HAR-RV by up to 5.4 per cent, but the difference is not significant and the Model Confidence Set retains HAR-RV, excluding the conditional-variance family instead. Regime conditioning relocates the advantage rather than lowering average loss, concentrating it in the transitional state. The intervals under-cover at both nominal levels and their width does not adapt to the state. The result survives a change of index within the US session but not a change of market.</w:t>
      </w:r>
    </w:p>
    <w:p>
      <w:pPr>
        <w:pStyle w:val="Heading2"/>
        <w:spacing w:after="180" w:before="320"/>
      </w:pPr>
      <w:r>
        <w:rPr>
          <w:rFonts w:ascii="Calibri" w:cs="Calibri" w:eastAsia="Calibri" w:hAnsi="Calibri"/>
          <w:b/>
          <w:bCs/>
          <w:color w:val="111111"/>
          <w:sz w:val="26"/>
          <w:szCs w:val="26"/>
        </w:rPr>
        <w:t xml:space="preserve">The validation sample</w:t>
      </w:r>
    </w:p>
    <w:p>
      <w:pPr>
        <w:spacing w:after="160" w:line="320"/>
        <w:jc w:val="both"/>
      </w:pPr>
      <w:r>
        <w:t xml:space="preserve">The validation series is the five-minute realised variance of the S&amp;P 500 from the Oxford-Man Realized Library (Heber et al., 2009), constructed in the sense of Andersen et al. (2003). It meets every requirement of Section 3.2: a fixed five-minute grid, the compromise Liu, Patton and Sheppard (2015) identify as conventional; a strictly positive measure, so the logarithm is defined throughout; and open and close prices matched to the session the target measures.</w:t>
      </w:r>
    </w:p>
    <w:p>
      <w:pPr>
        <w:spacing w:after="160" w:line="320"/>
        <w:jc w:val="both"/>
      </w:pPr>
      <w:r>
        <w:t xml:space="preserve">The library's 5,552 observations end on 25 February 2022, its discontinuation date, which fixes the study period; twenty-two go to the Section 3.2 warm-up, none to the calendar join, and the remaining 5,530 divide into 3,993 training days, 753 validation days and a 784-day test block from 2 January 2019 (Appendix C.10). On an annualised-volatility scale the median test day is 9.4 per cent, the mean 16.5 and the maximum 102.3, or 117 times the median. Skewness of 8.13, excess kurtosis of 78.4 and first-order autocorrelation of 0.755 confirm the right-skew, heavy tails and persistence expected of the target (Cont, 2001).</w:t>
      </w:r>
    </w:p>
    <w:p>
      <w:pPr>
        <w:pStyle w:val="Heading2"/>
        <w:spacing w:after="180" w:before="320"/>
      </w:pPr>
      <w:r>
        <w:rPr>
          <w:rFonts w:ascii="Calibri" w:cs="Calibri" w:eastAsia="Calibri" w:hAnsi="Calibri"/>
          <w:b/>
          <w:bCs/>
          <w:color w:val="111111"/>
          <w:sz w:val="26"/>
          <w:szCs w:val="26"/>
        </w:rPr>
        <w:t xml:space="preserve">One forecast, end to end</w:t>
      </w:r>
    </w:p>
    <w:p>
      <w:pPr>
        <w:spacing w:after="160" w:line="320"/>
        <w:jc w:val="both"/>
      </w:pPr>
      <w:r>
        <w:t xml:space="preserve">One forecast is worked through before the aggregates. The day is 16 March 2020: the second-largest realised variance in the evaluation window, and the highest VIX close in the 2000 to 2022 sample at 82.69. The input is the ten trading days ending 13 March, over which realised variance runs from 2.67 to 41.53 and the state is crisis throughout; the posterior at the forecast origin is (0, 0, 1), so the gate entropy is zero and the mixture reduces to its crisis expert, the mechanism of Equation 3.3 in a single number.</w:t>
      </w:r>
    </w:p>
    <w:p>
      <w:pPr>
        <w:spacing w:after="160" w:line="320"/>
        <w:jc w:val="both"/>
      </w:pPr>
      <w:r>
        <w:t xml:space="preserve">Against a realised variance of 41.21 every model under-predicts, by 1.6 times for the random walk and 4.5 for EGARCH, and all four 90 per cent intervals exclude the outcome: a one-step-ahead forecast conditions on a window that ends before the shock (Appendix C.11). That the reference floor is closest is precisely why one day is not evidence — it records the lowest loss on 300 of the 784 evaluation days, more than any other model, and the highest pooled loss of the five.</w:t>
      </w:r>
    </w:p>
    <w:p>
      <w:pPr>
        <w:pStyle w:val="Heading2"/>
        <w:spacing w:after="180" w:before="320"/>
      </w:pPr>
      <w:r>
        <w:rPr>
          <w:rFonts w:ascii="Calibri" w:cs="Calibri" w:eastAsia="Calibri" w:hAnsi="Calibri"/>
          <w:b/>
          <w:bCs/>
          <w:color w:val="111111"/>
          <w:sz w:val="26"/>
          <w:szCs w:val="26"/>
        </w:rPr>
        <w:t xml:space="preserve">Selected configuration and measured cost</w:t>
      </w:r>
    </w:p>
    <w:p>
      <w:pPr>
        <w:spacing w:after="160" w:line="320"/>
        <w:jc w:val="both"/>
      </w:pPr>
      <w:r>
        <w:t xml:space="preserve">The configuration selected over the eighteen candidates of Appendix C.3 is a hidden width of 128, a ten-day lookback and a learning rate of 1e-3 (Appendix C.6). That lookback reaches less history than HAR-RV's twenty-two-day aggregate, so the realised-volatility-only ablation works from strictly less information than its baseline.</w:t>
      </w:r>
    </w:p>
    <w:p>
      <w:pPr>
        <w:spacing w:after="160" w:line="320"/>
        <w:jc w:val="both"/>
      </w:pPr>
      <w:r>
        <w:t xml:space="preserve">The search was not constrained by its own budget: four configurations ran to 132, 132, 136 and 150 epochs, against a ceiling of 150, and every frozen fit stopped well inside its cap. The study runs end to end in 13.9 minutes on four processor cores and peaks at 390 megabytes, so the operational constraint is the availability of the daily realised measure, not computation.</w:t>
      </w:r>
    </w:p>
    <w:p>
      <w:pPr>
        <w:pStyle w:val="Heading2"/>
        <w:spacing w:after="180" w:before="320"/>
      </w:pPr>
      <w:r>
        <w:rPr>
          <w:rFonts w:ascii="Calibri" w:cs="Calibri" w:eastAsia="Calibri" w:hAnsi="Calibri"/>
          <w:b/>
          <w:bCs/>
          <w:color w:val="111111"/>
          <w:sz w:val="26"/>
          <w:szCs w:val="26"/>
        </w:rPr>
        <w:t xml:space="preserve">Regime identification</w:t>
      </w:r>
    </w:p>
    <w:p>
      <w:pPr>
        <w:spacing w:after="160" w:line="320"/>
        <w:jc w:val="both"/>
      </w:pPr>
      <w:r>
        <w:t xml:space="preserve">The regime signal enters every result in Section 4.7, so its selection and validity come first. On the pre-registered grid the smallest penalty clearing the persistence floor is 3, at a mean training-state duration of 51.9 days against 3.3 at a penalty of 1 (Appendix C.7). The finer sweep Section 3.3 promised makes that grid's influence visible: a penalty of 1.5 also clears the floor and agrees with the selected path on over 90 per cent of days in both blocks, so a finer grid would have changed little. The state count was fixed at three in advance, the criterion reported as a sensitivity: it is minimised at three under Baum-Welch and at four under the penalised estimator (Appendix C.8).</w:t>
      </w:r>
    </w:p>
    <w:p>
      <w:pPr>
        <w:spacing w:after="160" w:line="320"/>
        <w:jc w:val="both"/>
      </w:pPr>
      <w:r>
        <w:t xml:space="preserve">Over the evaluation window the signal switches 51 times, a mean duration of 15.1 days. Its external validity is the stronger evidence: the estimator sees only standardised daily returns, yet mean VIX rises monotonically across the states from 14.4 through 21.9 to 37.9, and the crisis state holds no day from the index's lowest tercile against 437 from its highest. Table 4.1 makes the point differently: the path holds 50 crisis episodes, and each of six named events opens one of them.</w:t>
      </w:r>
    </w:p>
    <w:p>
      <w:pPr>
        <w:pStyle w:val="Caption"/>
        <w:keepNext/>
      </w:pPr>
      <w:r>
        <w:t xml:space="preserve">Table 4.1  Crisis episodes containing six named market events; the estimator is unsupervised and given no event dates, yet each episode opens on the event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900"/>
        <w:gridCol w:w="1426"/>
      </w:tblGrid>
      <w:tr>
        <w:trPr>
          <w:cantSplit/>
          <w:tblHeader/>
        </w:trPr>
        <w:tc>
          <w:tcPr>
            <w:tcW w:type="dxa" w:w="32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Event</w:t>
            </w:r>
          </w:p>
        </w:tc>
        <w:tc>
          <w:tcPr>
            <w:tcW w:type="dxa" w:w="15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Date</w:t>
            </w:r>
          </w:p>
        </w:tc>
        <w:tc>
          <w:tcPr>
            <w:tcW w:type="dxa" w:w="29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Episode</w:t>
            </w:r>
          </w:p>
        </w:tc>
        <w:tc>
          <w:tcPr>
            <w:tcW w:type="dxa" w:w="14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Length</w:t>
            </w:r>
          </w:p>
        </w:tc>
      </w:tr>
      <w:tr>
        <w:trPr>
          <w:cantSplit/>
          <w:tblHeader w:val="false"/>
        </w:trPr>
        <w:tc>
          <w:tcPr>
            <w:tcW w:type="dxa" w:w="3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Reopening after 11 September 2001</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2001-09-17</w:t>
            </w:r>
          </w:p>
        </w:tc>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2001-09-17 to 2001-10-03</w:t>
            </w:r>
          </w:p>
        </w:tc>
        <w:tc>
          <w:tcPr>
            <w:tcW w:type="dxa" w:w="14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13 days</w:t>
            </w:r>
          </w:p>
        </w:tc>
      </w:tr>
      <w:tr>
        <w:trPr>
          <w:cantSplit/>
          <w:tblHeader w:val="false"/>
        </w:trPr>
        <w:tc>
          <w:tcPr>
            <w:tcW w:type="dxa" w:w="3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Lehman Brothers filing</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2008-09-15</w:t>
            </w:r>
          </w:p>
        </w:tc>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2008-09-15 to 2008-12-24</w:t>
            </w:r>
          </w:p>
        </w:tc>
        <w:tc>
          <w:tcPr>
            <w:tcW w:type="dxa" w:w="14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72 days</w:t>
            </w:r>
          </w:p>
        </w:tc>
      </w:tr>
      <w:tr>
        <w:trPr>
          <w:cantSplit/>
          <w:tblHeader w:val="false"/>
        </w:trPr>
        <w:tc>
          <w:tcPr>
            <w:tcW w:type="dxa" w:w="3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Flash Crash</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2010-05-06</w:t>
            </w:r>
          </w:p>
        </w:tc>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2010-05-06</w:t>
            </w:r>
          </w:p>
        </w:tc>
        <w:tc>
          <w:tcPr>
            <w:tcW w:type="dxa" w:w="14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 day</w:t>
            </w:r>
          </w:p>
        </w:tc>
      </w:tr>
      <w:tr>
        <w:trPr>
          <w:cantSplit/>
          <w:tblHeader w:val="false"/>
        </w:trPr>
        <w:tc>
          <w:tcPr>
            <w:tcW w:type="dxa" w:w="3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Brexit referendum result</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2016-06-24</w:t>
            </w:r>
          </w:p>
        </w:tc>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2016-06-24 to 2016-07-01</w:t>
            </w:r>
          </w:p>
        </w:tc>
        <w:tc>
          <w:tcPr>
            <w:tcW w:type="dxa" w:w="14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6 days</w:t>
            </w:r>
          </w:p>
        </w:tc>
      </w:tr>
      <w:tr>
        <w:trPr>
          <w:cantSplit/>
          <w:tblHeader w:val="false"/>
        </w:trPr>
        <w:tc>
          <w:tcPr>
            <w:tcW w:type="dxa" w:w="3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Volmageddon</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2018-02-05</w:t>
            </w:r>
          </w:p>
        </w:tc>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2018-02-05 to 2018-02-15</w:t>
            </w:r>
          </w:p>
        </w:tc>
        <w:tc>
          <w:tcPr>
            <w:tcW w:type="dxa" w:w="14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9 days</w:t>
            </w:r>
          </w:p>
        </w:tc>
      </w:tr>
      <w:tr>
        <w:trPr>
          <w:cantSplit/>
          <w:tblHeader w:val="false"/>
        </w:trPr>
        <w:tc>
          <w:tcPr>
            <w:tcW w:type="dxa" w:w="32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COVID-19 onset</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2020-02-25</w:t>
            </w:r>
          </w:p>
        </w:tc>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2020-02-25 to 2020-05-08</w:t>
            </w:r>
          </w:p>
        </w:tc>
        <w:tc>
          <w:tcPr>
            <w:tcW w:type="dxa" w:w="14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52 days</w:t>
            </w:r>
          </w:p>
        </w:tc>
      </w:tr>
    </w:tbl>
    <w:p>
      <w:pPr>
        <w:pStyle w:val="Heading2"/>
        <w:spacing w:after="180" w:before="320"/>
      </w:pPr>
      <w:r>
        <w:rPr>
          <w:rFonts w:ascii="Calibri" w:cs="Calibri" w:eastAsia="Calibri" w:hAnsi="Calibri"/>
          <w:b/>
          <w:bCs/>
          <w:color w:val="111111"/>
          <w:sz w:val="26"/>
          <w:szCs w:val="26"/>
        </w:rPr>
        <w:t xml:space="preserve">Point accuracy</w:t>
      </w:r>
    </w:p>
    <w:p>
      <w:pPr>
        <w:spacing w:after="160" w:line="320"/>
        <w:jc w:val="both"/>
      </w:pPr>
      <w:r>
        <w:t xml:space="preserve">Table 4.2 ranks every specification by QLIKE. HAR-RV, the benchmark on this target, is ninth of thirteen at 0.2745; GARCH's loss is 20 per cent higher and the random walk's 31 per cent. Every network except the quantile head is ahead of HAR-RV, the best at 0.2596, a reduction of 5.4 per cent, and the three specifications carrying the regime signal take second, third and fourth within 0.0005 of one another.</w:t>
      </w:r>
    </w:p>
    <w:p>
      <w:pPr>
        <w:pStyle w:val="Caption"/>
        <w:keepNext/>
      </w:pPr>
      <w:r>
        <w:t xml:space="preserve">Table 4.2  Pooled loss over the 784-day test block, ranked by QLIKE. MSE in units of 1e-8, MAE of 1e-4; a dash marks a model outside the nine-way confidence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300"/>
        <w:gridCol w:w="1300"/>
        <w:gridCol w:w="2226"/>
      </w:tblGrid>
      <w:tr>
        <w:trPr>
          <w:cantSplit/>
          <w:tblHeader/>
        </w:trPr>
        <w:tc>
          <w:tcPr>
            <w:tcW w:type="dxa" w:w="29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Model</w:t>
            </w:r>
          </w:p>
        </w:tc>
        <w:tc>
          <w:tcPr>
            <w:tcW w:type="dxa" w:w="13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QLIKE</w:t>
            </w:r>
          </w:p>
        </w:tc>
        <w:tc>
          <w:tcPr>
            <w:tcW w:type="dxa" w:w="13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MSE</w:t>
            </w:r>
          </w:p>
        </w:tc>
        <w:tc>
          <w:tcPr>
            <w:tcW w:type="dxa" w:w="13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MAE</w:t>
            </w:r>
          </w:p>
        </w:tc>
        <w:tc>
          <w:tcPr>
            <w:tcW w:type="dxa" w:w="22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Confidence set</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LSTM-RVonly</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0.2596</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4.02</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0.606</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Retained</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Regime-LSTM-A-RVonly</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0.2617</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4.15</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0.647</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Retained</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MC-Dropout-Regime-LSTM-B</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0.2619</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4.16</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0.537</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Regime-LSTM-B</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0.2621</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4.16</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0.538</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Retained</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Regime-LSTM-A</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0.2632</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4.03</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0.581</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Retained</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LSTM-Gaussian</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0.2650</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4.48</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0.586</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0.2650</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4.48</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0.586</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Retained</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MC-Dropout-LSTM</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0.2652</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4.49</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0.587</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HAR-RV</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0.2745</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4.18</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0.605</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Retained</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Quantile-LSTM</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0.3216</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5.13</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0.573</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GARCH</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0.3302</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5.63</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0.717</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Excluded</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EGARCH</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0.3328</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5.67</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0.690</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Excluded</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RW-RV</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0.3584</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5.28</w:t>
            </w:r>
          </w:p>
        </w:tc>
        <w:tc>
          <w:tcPr>
            <w:tcW w:type="dxa" w:w="1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0.658</w:t>
            </w:r>
          </w:p>
        </w:tc>
        <w:tc>
          <w:tcPr>
            <w:tcW w:type="dxa" w:w="22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Excluded</w:t>
            </w:r>
          </w:p>
        </w:tc>
      </w:tr>
    </w:tbl>
    <w:p>
      <w:pPr>
        <w:spacing w:after="160" w:line="320"/>
        <w:jc w:val="both"/>
      </w:pPr>
      <w:r>
        <w:t xml:space="preserve">That ordering does not survive as a claim of significance: the mixture against HAR-RV returns a Diebold-Mariano p-value of 0.459. The Model Confidence Set, which controls the family-wise error a thirteen-way ranking invites, retains six specifications at a size of 0.10, HAR-RV among them at 0.321, and excludes the conditional-variance family and the reference floor at 0.0005 and below.</w:t>
      </w:r>
    </w:p>
    <w:p>
      <w:pPr>
        <w:spacing w:after="160" w:line="320"/>
        <w:jc w:val="both"/>
      </w:pPr>
      <w:r>
        <w:t xml:space="preserve">The two remaining losses disagree. Mean squared error, inside the proxy-robust class, agrees with QLIKE. Mean absolute error, which is not, reverses the network ordering almost completely: the two mixtures first and second, the quantile head from tenth to third, and the QLIKE leader ninth, within 0.2 per cent of HAR-RV. Section 3.7 refuses to rank on it for this reason: the divergence is a measured instance of the proxy problem, not an inconsistency.</w:t>
      </w:r>
    </w:p>
    <w:p>
      <w:pPr>
        <w:pStyle w:val="Heading2"/>
        <w:spacing w:after="180" w:before="320"/>
      </w:pPr>
      <w:r>
        <w:rPr>
          <w:rFonts w:ascii="Calibri" w:cs="Calibri" w:eastAsia="Calibri" w:hAnsi="Calibri"/>
          <w:b/>
          <w:bCs/>
          <w:color w:val="111111"/>
          <w:sz w:val="26"/>
          <w:szCs w:val="26"/>
        </w:rPr>
        <w:t xml:space="preserve">State dependence</w:t>
      </w:r>
    </w:p>
    <w:p>
      <w:pPr>
        <w:spacing w:after="160" w:line="320"/>
        <w:jc w:val="both"/>
      </w:pPr>
      <w:r>
        <w:t xml:space="preserve">Research question two asks not whether the regime-conditioned specifications are better on average but whether the state at the forecast origin predicts which will be. Table 4.3 splits the same losses on the lagged state, and the pooled figures conceal a reversal. Every network beats HAR-RV in the transitional state, by 18 to 22 per cent, the mixture furthest at 0.1851 against 0.2367. In calm the three specifications that also take the daily return fall behind HAR-RV while the two restricted to realised-volatility history stay ahead. In crisis, on 76 days, HAR-RV leads every network but the regime-as-feature specification.</w:t>
      </w:r>
    </w:p>
    <w:p>
      <w:pPr>
        <w:pStyle w:val="Caption"/>
        <w:keepNext/>
      </w:pPr>
      <w:r>
        <w:t xml:space="preserve">Table 4.3  QLIKE by market state, bucketed on the state known at the forecast origin (Section 3.7); day counts are in the headings.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500"/>
        <w:gridCol w:w="1726"/>
      </w:tblGrid>
      <w:tr>
        <w:trPr>
          <w:cantSplit/>
          <w:tblHeader/>
        </w:trPr>
        <w:tc>
          <w:tcPr>
            <w:tcW w:type="dxa" w:w="26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Model</w:t>
            </w:r>
          </w:p>
        </w:tc>
        <w:tc>
          <w:tcPr>
            <w:tcW w:type="dxa" w:w="15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Calm (379)</w:t>
            </w:r>
          </w:p>
        </w:tc>
        <w:tc>
          <w:tcPr>
            <w:tcW w:type="dxa" w:w="17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Transitional (329)</w:t>
            </w:r>
          </w:p>
        </w:tc>
        <w:tc>
          <w:tcPr>
            <w:tcW w:type="dxa" w:w="15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Crisis (76)</w:t>
            </w:r>
          </w:p>
        </w:tc>
        <w:tc>
          <w:tcPr>
            <w:tcW w:type="dxa" w:w="17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All (784)</w:t>
            </w:r>
          </w:p>
        </w:tc>
      </w:tr>
      <w:tr>
        <w:trPr>
          <w:cantSplit/>
          <w:tblHeader w:val="false"/>
        </w:trPr>
        <w:tc>
          <w:tcPr>
            <w:tcW w:type="dxa" w:w="26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HAR-RV</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0.3008</w:t>
            </w:r>
          </w:p>
        </w:tc>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0.2367</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0.3070</w:t>
            </w:r>
          </w:p>
        </w:tc>
        <w:tc>
          <w:tcPr>
            <w:tcW w:type="dxa" w:w="17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0.2745</w:t>
            </w:r>
          </w:p>
        </w:tc>
      </w:tr>
      <w:tr>
        <w:trPr>
          <w:cantSplit/>
          <w:tblHeader w:val="false"/>
        </w:trPr>
        <w:tc>
          <w:tcPr>
            <w:tcW w:type="dxa" w:w="26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0.3187</w:t>
            </w:r>
          </w:p>
        </w:tc>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0.1921</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0.3131</w:t>
            </w:r>
          </w:p>
        </w:tc>
        <w:tc>
          <w:tcPr>
            <w:tcW w:type="dxa" w:w="17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0.2650</w:t>
            </w:r>
          </w:p>
        </w:tc>
      </w:tr>
      <w:tr>
        <w:trPr>
          <w:cantSplit/>
          <w:tblHeader w:val="false"/>
        </w:trPr>
        <w:tc>
          <w:tcPr>
            <w:tcW w:type="dxa" w:w="26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LSTM-RVonly</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0.2829</w:t>
            </w:r>
          </w:p>
        </w:tc>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0.2182</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0.3232</w:t>
            </w:r>
          </w:p>
        </w:tc>
        <w:tc>
          <w:tcPr>
            <w:tcW w:type="dxa" w:w="17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0.2596</w:t>
            </w:r>
          </w:p>
        </w:tc>
      </w:tr>
      <w:tr>
        <w:trPr>
          <w:cantSplit/>
          <w:tblHeader w:val="false"/>
        </w:trPr>
        <w:tc>
          <w:tcPr>
            <w:tcW w:type="dxa" w:w="26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Regime-LSTM-A</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0.3164</w:t>
            </w:r>
          </w:p>
        </w:tc>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0.1945</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0.2952</w:t>
            </w:r>
          </w:p>
        </w:tc>
        <w:tc>
          <w:tcPr>
            <w:tcW w:type="dxa" w:w="17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0.2632</w:t>
            </w:r>
          </w:p>
        </w:tc>
      </w:tr>
      <w:tr>
        <w:trPr>
          <w:cantSplit/>
          <w:tblHeader w:val="false"/>
        </w:trPr>
        <w:tc>
          <w:tcPr>
            <w:tcW w:type="dxa" w:w="26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Regime-LSTM-A-RVonly</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0.2920</w:t>
            </w:r>
          </w:p>
        </w:tc>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0.2158</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0.3099</w:t>
            </w:r>
          </w:p>
        </w:tc>
        <w:tc>
          <w:tcPr>
            <w:tcW w:type="dxa" w:w="17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0.2617</w:t>
            </w:r>
          </w:p>
        </w:tc>
      </w:tr>
      <w:tr>
        <w:trPr>
          <w:cantSplit/>
          <w:tblHeader w:val="false"/>
        </w:trPr>
        <w:tc>
          <w:tcPr>
            <w:tcW w:type="dxa" w:w="26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Regime-LSTM-B</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0.3172</w:t>
            </w:r>
          </w:p>
        </w:tc>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0.1851</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0.3211</w:t>
            </w:r>
          </w:p>
        </w:tc>
        <w:tc>
          <w:tcPr>
            <w:tcW w:type="dxa" w:w="17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0.2621</w:t>
            </w:r>
          </w:p>
        </w:tc>
      </w:tr>
    </w:tbl>
    <w:p>
      <w:pPr>
        <w:spacing w:after="160" w:line="320"/>
        <w:jc w:val="both"/>
      </w:pPr>
      <w:r>
        <w:t xml:space="preserve">The conditional test puts that pattern to a hypothesis. Against HAR-RV on the three lagged state indicators the mixture returns a Wald statistic of 40.13 on three degrees of freedom at a p-value of 9.99e-09, so which forecast is better is predictable at the origin; in the transitional state alone the mean loss difference is -0.0516 at 4.29e-09.</w:t>
      </w:r>
    </w:p>
    <w:p>
      <w:pPr>
        <w:spacing w:after="160" w:line="320"/>
        <w:jc w:val="both"/>
      </w:pPr>
      <w:r>
        <w:t xml:space="preserve">Two checks establish that this is a property of the state, not of a few days inside it. Of the 329 transitional days, 214, or 65.0 per cent, favour the mixture, a sign-test statistic of 5.46, and trimming the most extreme tenth from each tail moves the mean difference only to -0.0466. Of fifteen published per-state tests three reject at five per cent, and two survive the Holm correction, both transitional comparisons against HAR-RV, at a smallest adjusted p-value of 6.44e-08.</w:t>
      </w:r>
    </w:p>
    <w:p>
      <w:pPr>
        <w:pStyle w:val="Heading2"/>
        <w:spacing w:after="180" w:before="320"/>
      </w:pPr>
      <w:r>
        <w:rPr>
          <w:rFonts w:ascii="Calibri" w:cs="Calibri" w:eastAsia="Calibri" w:hAnsi="Calibri"/>
          <w:b/>
          <w:bCs/>
          <w:color w:val="111111"/>
          <w:sz w:val="26"/>
          <w:szCs w:val="26"/>
        </w:rPr>
        <w:t xml:space="preserve">Interval quality</w:t>
      </w:r>
    </w:p>
    <w:p>
      <w:pPr>
        <w:spacing w:after="160" w:line="320"/>
        <w:jc w:val="both"/>
      </w:pPr>
      <w:r>
        <w:t xml:space="preserve">Four specifications emit a predictive distribution, and Table 4.4 reports the interval criteria at ninety per cent. The combined specification leads on every one, and on the common grid Section 3.7 requires it improves on the quantile head by 4.8 per cent.</w:t>
      </w:r>
    </w:p>
    <w:p>
      <w:pPr>
        <w:pStyle w:val="Caption"/>
        <w:keepNext/>
      </w:pPr>
      <w:r>
        <w:t xml:space="preserve">Table 4.4  Interval criteria at ninety per cent, the only level at which all four are comparable. Width and interval score in units of 1e-4, the proper score in 1e-5.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500"/>
        <w:gridCol w:w="1600"/>
        <w:gridCol w:w="1626"/>
      </w:tblGrid>
      <w:tr>
        <w:trPr>
          <w:cantSplit/>
          <w:tblHeader/>
        </w:trPr>
        <w:tc>
          <w:tcPr>
            <w:tcW w:type="dxa" w:w="29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Method</w:t>
            </w:r>
          </w:p>
        </w:tc>
        <w:tc>
          <w:tcPr>
            <w:tcW w:type="dxa" w:w="14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Coverage</w:t>
            </w:r>
          </w:p>
        </w:tc>
        <w:tc>
          <w:tcPr>
            <w:tcW w:type="dxa" w:w="15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Mean width</w:t>
            </w:r>
          </w:p>
        </w:tc>
        <w:tc>
          <w:tcPr>
            <w:tcW w:type="dxa" w:w="16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Interval score</w:t>
            </w:r>
          </w:p>
        </w:tc>
        <w:tc>
          <w:tcPr>
            <w:tcW w:type="dxa" w:w="16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Proper score</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MC-Dropout-Regime-LSTM-B</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0.866</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1.79</w:t>
            </w:r>
          </w:p>
        </w:tc>
        <w:tc>
          <w:tcPr>
            <w:tcW w:type="dxa" w:w="16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4.09</w:t>
            </w:r>
          </w:p>
        </w:tc>
        <w:tc>
          <w:tcPr>
            <w:tcW w:type="dxa" w:w="1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3.38</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LSTM-Gaussian</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0.864</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1.80</w:t>
            </w:r>
          </w:p>
        </w:tc>
        <w:tc>
          <w:tcPr>
            <w:tcW w:type="dxa" w:w="16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4.20</w:t>
            </w:r>
          </w:p>
        </w:tc>
        <w:tc>
          <w:tcPr>
            <w:tcW w:type="dxa" w:w="1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3.56</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MC-Dropout-LSTM</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0.865</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1.82</w:t>
            </w:r>
          </w:p>
        </w:tc>
        <w:tc>
          <w:tcPr>
            <w:tcW w:type="dxa" w:w="16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4.20</w:t>
            </w:r>
          </w:p>
        </w:tc>
        <w:tc>
          <w:tcPr>
            <w:tcW w:type="dxa" w:w="1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3.56</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Quantile-LSTM</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0.821</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1.60</w:t>
            </w:r>
          </w:p>
        </w:tc>
        <w:tc>
          <w:tcPr>
            <w:tcW w:type="dxa" w:w="16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4.32</w:t>
            </w:r>
          </w:p>
        </w:tc>
        <w:tc>
          <w:tcPr>
            <w:tcW w:type="dxa" w:w="1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3.55</w:t>
            </w:r>
          </w:p>
        </w:tc>
      </w:tr>
    </w:tbl>
    <w:p>
      <w:pPr>
        <w:spacing w:after="160" w:line="320"/>
        <w:jc w:val="both"/>
      </w:pPr>
      <w:r>
        <w:t xml:space="preserve">None of the four is calibrated, and Table 4.5 locates the failure. Violation rates are 13.4 to 13.6 per cent for the three law-stating specifications against a nominal ten and 17.9 for the quantile head; the unconditional-coverage test rejects all four. The independence test rejects none, at p-values from 0.45 to 0.91, so the bands are the wrong width rather than the wrong shape. At ninety-five per cent the realised rates are 7.7 to 8.0 against an expected five. The upper tail is worse than the two-sided figure implies — 8.3 per cent for the combined specification, rejected at 9.0e-06 — and it is the tail on which a capital decision depends.</w:t>
      </w:r>
    </w:p>
    <w:p>
      <w:pPr>
        <w:pStyle w:val="Caption"/>
        <w:keepNext/>
      </w:pPr>
      <w:r>
        <w:t xml:space="preserve">Table 4.5  Two-sided interval backtests at the ninety per cent level; the dynamic-quantile test is run incrementally, as Section 3.7 specifies.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50"/>
        <w:gridCol w:w="1500"/>
        <w:gridCol w:w="1450"/>
        <w:gridCol w:w="1626"/>
      </w:tblGrid>
      <w:tr>
        <w:trPr>
          <w:cantSplit/>
          <w:tblHeader/>
        </w:trPr>
        <w:tc>
          <w:tcPr>
            <w:tcW w:type="dxa" w:w="29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Method</w:t>
            </w:r>
          </w:p>
        </w:tc>
        <w:tc>
          <w:tcPr>
            <w:tcW w:type="dxa" w:w="155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Violation rate</w:t>
            </w:r>
          </w:p>
        </w:tc>
        <w:tc>
          <w:tcPr>
            <w:tcW w:type="dxa" w:w="15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Unconditional</w:t>
            </w:r>
          </w:p>
        </w:tc>
        <w:tc>
          <w:tcPr>
            <w:tcW w:type="dxa" w:w="145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Independence</w:t>
            </w:r>
          </w:p>
        </w:tc>
        <w:tc>
          <w:tcPr>
            <w:tcW w:type="dxa" w:w="16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Dynamic quantile</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MC-Dropout-Regime-LSTM-B</w:t>
            </w:r>
          </w:p>
        </w:tc>
        <w:tc>
          <w:tcPr>
            <w:tcW w:type="dxa" w:w="15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13.4%</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0.0025</w:t>
            </w:r>
          </w:p>
        </w:tc>
        <w:tc>
          <w:tcPr>
            <w:tcW w:type="dxa" w:w="14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0.514</w:t>
            </w:r>
          </w:p>
        </w:tc>
        <w:tc>
          <w:tcPr>
            <w:tcW w:type="dxa" w:w="1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0.016</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LSTM-Gaussian</w:t>
            </w:r>
          </w:p>
        </w:tc>
        <w:tc>
          <w:tcPr>
            <w:tcW w:type="dxa" w:w="15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13.6%</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0.0012</w:t>
            </w:r>
          </w:p>
        </w:tc>
        <w:tc>
          <w:tcPr>
            <w:tcW w:type="dxa" w:w="14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0.909</w:t>
            </w:r>
          </w:p>
        </w:tc>
        <w:tc>
          <w:tcPr>
            <w:tcW w:type="dxa" w:w="1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0.008</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MC-Dropout-LSTM</w:t>
            </w:r>
          </w:p>
        </w:tc>
        <w:tc>
          <w:tcPr>
            <w:tcW w:type="dxa" w:w="15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13.5%</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0.0017</w:t>
            </w:r>
          </w:p>
        </w:tc>
        <w:tc>
          <w:tcPr>
            <w:tcW w:type="dxa" w:w="14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0.843</w:t>
            </w:r>
          </w:p>
        </w:tc>
        <w:tc>
          <w:tcPr>
            <w:tcW w:type="dxa" w:w="1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0.014</w:t>
            </w:r>
          </w:p>
        </w:tc>
      </w:tr>
      <w:tr>
        <w:trPr>
          <w:cantSplit/>
          <w:tblHeader w:val="false"/>
        </w:trPr>
        <w:tc>
          <w:tcPr>
            <w:tcW w:type="dxa" w:w="2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Quantile-LSTM</w:t>
            </w:r>
          </w:p>
        </w:tc>
        <w:tc>
          <w:tcPr>
            <w:tcW w:type="dxa" w:w="15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17.9%</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2.3e-11</w:t>
            </w:r>
          </w:p>
        </w:tc>
        <w:tc>
          <w:tcPr>
            <w:tcW w:type="dxa" w:w="14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0.455</w:t>
            </w:r>
          </w:p>
        </w:tc>
        <w:tc>
          <w:tcPr>
            <w:tcW w:type="dxa" w:w="1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2.9e-11</w:t>
            </w:r>
          </w:p>
        </w:tc>
      </w:tr>
    </w:tbl>
    <w:p>
      <w:pPr>
        <w:spacing w:after="160" w:line="320"/>
        <w:jc w:val="both"/>
      </w:pPr>
      <w:r>
        <w:t xml:space="preserve">Section 3.7 undertook to measure how wrong the spread is, not to correct it. Scaling the fitted predictive standard deviation by 1.11 brings coverage to 90.1 per cent; by state the constant is 1.24 in calm against 1.01 and 1.02 elsewhere, so the miscalibration is almost entirely a calm-state phenomenon. Width does not adapt to the state, the second clause of research question three: the mean predictive standard deviation in logs is 0.5974, 0.5965 and 0.6004 across the three states, and the epistemic component supplies 0.43 per cent of predictive variance.</w:t>
      </w:r>
    </w:p>
    <w:p>
      <w:pPr>
        <w:pStyle w:val="Heading2"/>
        <w:spacing w:after="180" w:before="320"/>
      </w:pPr>
      <w:r>
        <w:rPr>
          <w:rFonts w:ascii="Calibri" w:cs="Calibri" w:eastAsia="Calibri" w:hAnsi="Calibri"/>
          <w:b/>
          <w:bCs/>
          <w:color w:val="111111"/>
          <w:sz w:val="26"/>
          <w:szCs w:val="26"/>
        </w:rPr>
        <w:t xml:space="preserve">Transfer to further markets</w:t>
      </w:r>
    </w:p>
    <w:p>
      <w:pPr>
        <w:spacing w:after="160" w:line="320"/>
        <w:jc w:val="both"/>
      </w:pPr>
      <w:r>
        <w:t xml:space="preserve">The reduced design of Section 3.9 re-runs the baselines and the mixture on the Russell 2000 and the FTSE 100, the state model re-estimated on each. On both the mixture leads HAR-RV in level and the pooled test does not detect it; the two diverge on the conditional test, which rejects at 0.0087 on the Russell 2000 and returns 0.254 on the FTSE 100, where the state dependence the finding rests on does not reproduce. All three selected the same pre-registered penalty, at test-window mean state durations of 15.1, 19.2 and 12.6 days.</w:t>
      </w:r>
    </w:p>
    <w:p>
      <w:pPr>
        <w:pStyle w:val="Caption"/>
        <w:keepNext/>
      </w:pPr>
      <w:r>
        <w:t xml:space="preserve">Table 4.6  The reduced replication of Section 3.9. Losses are QLIKE over each asset's own evaluation block; the FTSE 100 loses two days to the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1400"/>
        <w:gridCol w:w="1550"/>
        <w:gridCol w:w="1826"/>
      </w:tblGrid>
      <w:tr>
        <w:trPr>
          <w:cantSplit/>
          <w:tblHeader/>
        </w:trPr>
        <w:tc>
          <w:tcPr>
            <w:tcW w:type="dxa" w:w="25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Asset</w:t>
            </w:r>
          </w:p>
        </w:tc>
        <w:tc>
          <w:tcPr>
            <w:tcW w:type="dxa" w:w="175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Regime-LSTM-B</w:t>
            </w:r>
          </w:p>
        </w:tc>
        <w:tc>
          <w:tcPr>
            <w:tcW w:type="dxa" w:w="14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HAR-RV</w:t>
            </w:r>
          </w:p>
        </w:tc>
        <w:tc>
          <w:tcPr>
            <w:tcW w:type="dxa" w:w="155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Pooled test</w:t>
            </w:r>
          </w:p>
        </w:tc>
        <w:tc>
          <w:tcPr>
            <w:tcW w:type="dxa" w:w="18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Conditional test</w:t>
            </w:r>
          </w:p>
        </w:tc>
      </w:tr>
      <w:tr>
        <w:trPr>
          <w:cantSplit/>
          <w:tblHeader w:val="false"/>
        </w:trPr>
        <w:tc>
          <w:tcPr>
            <w:tcW w:type="dxa" w:w="2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S&amp;P 500 (784 days)</w:t>
            </w:r>
          </w:p>
        </w:tc>
        <w:tc>
          <w:tcPr>
            <w:tcW w:type="dxa" w:w="17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0.2621</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0.2745</w:t>
            </w:r>
          </w:p>
        </w:tc>
        <w:tc>
          <w:tcPr>
            <w:tcW w:type="dxa" w:w="15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0.459</w:t>
            </w:r>
          </w:p>
        </w:tc>
        <w:tc>
          <w:tcPr>
            <w:tcW w:type="dxa" w:w="1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9.99e-09</w:t>
            </w:r>
          </w:p>
        </w:tc>
      </w:tr>
      <w:tr>
        <w:trPr>
          <w:cantSplit/>
          <w:tblHeader w:val="false"/>
        </w:trPr>
        <w:tc>
          <w:tcPr>
            <w:tcW w:type="dxa" w:w="2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Russell 2000 (788 days)</w:t>
            </w:r>
          </w:p>
        </w:tc>
        <w:tc>
          <w:tcPr>
            <w:tcW w:type="dxa" w:w="17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0.2143</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0.2260</w:t>
            </w:r>
          </w:p>
        </w:tc>
        <w:tc>
          <w:tcPr>
            <w:tcW w:type="dxa" w:w="15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0.153</w:t>
            </w:r>
          </w:p>
        </w:tc>
        <w:tc>
          <w:tcPr>
            <w:tcW w:type="dxa" w:w="1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0.0087</w:t>
            </w:r>
          </w:p>
        </w:tc>
      </w:tr>
      <w:tr>
        <w:trPr>
          <w:cantSplit/>
          <w:tblHeader w:val="false"/>
        </w:trPr>
        <w:tc>
          <w:tcPr>
            <w:tcW w:type="dxa" w:w="2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FTSE 100 (795 days)</w:t>
            </w:r>
          </w:p>
        </w:tc>
        <w:tc>
          <w:tcPr>
            <w:tcW w:type="dxa" w:w="17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0.2905</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0.2997</w:t>
            </w:r>
          </w:p>
        </w:tc>
        <w:tc>
          <w:tcPr>
            <w:tcW w:type="dxa" w:w="15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0.605</w:t>
            </w:r>
          </w:p>
        </w:tc>
        <w:tc>
          <w:tcPr>
            <w:tcW w:type="dxa" w:w="18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0.254</w:t>
            </w:r>
          </w:p>
        </w:tc>
      </w:tr>
    </w:tbl>
    <w:p>
      <w:pPr>
        <w:spacing w:after="160" w:line="320"/>
        <w:jc w:val="both"/>
      </w:pPr>
      <w:r>
        <w:t xml:space="preserve">One asymmetry belongs to the measurement rather than the method: the variance of the open-to-close return divided by the mean realised variance is 0.90 on the S&amp;P 500 and 1.17 on the FTSE 100, but 2.01 on the Russell 2000, where a realised measure should exceed the squared session return rather than halve it. Non-synchronous trading in a two-thousand-constituent small-capitalisation index, a case Liu, Patton and Sheppard (2015) document, is why the conditional-variance baselines deteriorate there, to 0.481 and 0.444, while HAR-RV and the mixture, reading the same series, improve. Table 4.6 is unaffected, all three models reading that one series, but it also makes the FTSE 100 the cleaner test of transfer — the one on which the conditional finding fails.</w:t>
      </w:r>
    </w:p>
    <w:p>
      <w:pPr>
        <w:pStyle w:val="Heading2"/>
        <w:spacing w:after="180" w:before="320"/>
      </w:pPr>
      <w:r>
        <w:rPr>
          <w:rFonts w:ascii="Calibri" w:cs="Calibri" w:eastAsia="Calibri" w:hAnsi="Calibri"/>
          <w:b/>
          <w:bCs/>
          <w:color w:val="111111"/>
          <w:sz w:val="26"/>
          <w:szCs w:val="26"/>
        </w:rPr>
        <w:t xml:space="preserve">Robustness</w:t>
      </w:r>
    </w:p>
    <w:p>
      <w:pPr>
        <w:spacing w:after="160" w:line="320"/>
        <w:jc w:val="both"/>
      </w:pPr>
      <w:r>
        <w:t xml:space="preserve">Six checks each vary one element of the design (Appendix C.9); five leave the conclusions intact: the frozen protocol costs the networks about 1.6 per cent, so the reported margin is a conservative lower bound; the benchmark fitted in logarithms returns 0.4886 against 0.2745 in levels, disposing of the objection that the networks win by modelling a transformed target; the state-dependence finding survives replacing the penalised state estimator with the maximum-likelihood one, at a conditional p-value of 2.0e-05; the mean-centring Section 3.7 declared changes no verdict across thirty tests; and an independent implementation re-derives 943 published values without a disagreement.</w:t>
      </w:r>
    </w:p>
    <w:p>
      <w:pPr>
        <w:spacing w:after="160" w:line="320"/>
        <w:jc w:val="both"/>
      </w:pPr>
      <w:r>
        <w:t xml:space="preserve">The sixth qualifies the pooled ranking. Across five random initialisations the mixture has a standard deviation of 0.0062 and a range of 0.0164 against a published margin of 0.0025, and on the five-seed mean the ordering of Table 4.2 reverses, the regime-conditioned ablation taking first. The published seed reproduces its fits to within 6e-17, so this is initialisation variance, not error, but the pooled ordering among the leading specifications is not resolved here. The conditional result of Section 4.7 is a different quantity, resting on 329 days at a p-value below 1e-08, and is untouched.</w:t>
      </w:r>
    </w:p>
    <w:p>
      <w:pPr>
        <w:pStyle w:val="Heading2"/>
        <w:spacing w:after="180" w:before="320"/>
      </w:pPr>
      <w:r>
        <w:rPr>
          <w:rFonts w:ascii="Calibri" w:cs="Calibri" w:eastAsia="Calibri" w:hAnsi="Calibri"/>
          <w:b/>
          <w:bCs/>
          <w:color w:val="111111"/>
          <w:sz w:val="26"/>
          <w:szCs w:val="26"/>
        </w:rPr>
        <w:t xml:space="preserve">Summary</w:t>
      </w:r>
    </w:p>
    <w:p>
      <w:pPr>
        <w:spacing w:after="160" w:line="320"/>
        <w:jc w:val="both"/>
      </w:pPr>
      <w:r>
        <w:t xml:space="preserve">On point accuracy the networks lower QLIKE against HAR-RV by up to 5.4 per cent, but no pairwise test detects the difference and the confidence set retains the benchmark, excluding the conditional-variance family instead. Conditioning on the market state relocates the advantage rather than lowering average loss: every network leads in the transitional state, the mixture by 21.8 per cent, and the state known at the forecast origin predicts which model will win. The intervals under-cover at both nominal levels — a failure of level, not of clustering — and their width does not adapt to the state. The finding reproduces on a second index within the same session and not on a second market. Chapter 5 takes up why the benchmark is so hard to displace, why the advantage concentrates where it does, and why calm carries the miscalibration.</w:t>
      </w:r>
    </w:p>
    <w:p>
      <w:pPr>
        <w:pStyle w:val="Heading1"/>
        <w:spacing w:after="180" w:before="320"/>
      </w:pPr>
      <w:r>
        <w:rPr>
          <w:rFonts w:ascii="Calibri" w:cs="Calibri" w:eastAsia="Calibri" w:hAnsi="Calibri"/>
          <w:b/>
          <w:bCs/>
          <w:color w:val="111111"/>
          <w:sz w:val="30"/>
          <w:szCs w:val="30"/>
        </w:rPr>
        <w:t xml:space="preserve">References</w:t>
      </w:r>
    </w:p>
    <w:p>
      <w:pPr>
        <w:spacing w:after="160" w:line="320"/>
        <w:jc w:val="both"/>
      </w:pPr>
      <w:r>
        <w:t xml:space="preserve">Andersen, T.G., Bollerslev, T., Diebold, F.X. and Labys, P., 2003. Modeling and forecasting realized volatility. Econometrica, 71(2), pp.579–625. https://doi.org/10.1111/1468-0262.00418</w:t>
      </w:r>
    </w:p>
    <w:p>
      <w:pPr>
        <w:spacing w:after="160" w:line="320"/>
        <w:jc w:val="both"/>
      </w:pPr>
      <w:r>
        <w:t xml:space="preserve">Cont, R., 2001. Empirical properties of asset returns: stylized facts and statistical issues. Quantitative Finance, 1(2), pp.223–236. https://doi.org/10.1080/713665670</w:t>
      </w:r>
    </w:p>
    <w:p>
      <w:pPr>
        <w:spacing w:after="160" w:line="320"/>
        <w:jc w:val="both"/>
      </w:pPr>
      <w:r>
        <w:t xml:space="preserve">Heber, G., Lunde, A., Shephard, N. and Sheppard, K., 2009. Oxford-Man Institute's realized library. Oxford-Man Institute, University of Oxford.</w:t>
      </w:r>
    </w:p>
    <w:p>
      <w:pPr>
        <w:spacing w:after="160" w:line="320"/>
        <w:jc w:val="both"/>
      </w:pPr>
      <w:r>
        <w:t xml:space="preserve">Liu, L.Y., Patton, A.J. and Sheppard, K., 2015. Does anything beat 5-minute RV? A comparison of realized measures across multiple asset classes. Journal of Econometrics, 187(1), pp.293–311. https://doi.org/10.1016/j.jeconom.2015.02.008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uiPriority w:val="35"/>
    <w:unhideWhenUsed/>
    <w:qFormat/>
    <w:pPr>
      <w:spacing w:after="200" w:line="240" w:lineRule="auto"/>
    </w:pPr>
    <w:rPr>
      <w:i/>
      <w:iCs/>
      <w:color w:val="44546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021c43aaddbbffb2eec793cfdff615a93a8dc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Methodology</dc:title>
  <dc:creator>MSc Dissertation</dc:creator>
  <cp:lastModifiedBy>Un-named</cp:lastModifiedBy>
  <cp:revision>1</cp:revision>
  <dcterms:created xsi:type="dcterms:W3CDTF">2026-08-31T21:15:36.745Z</dcterms:created>
  <dcterms:modified xsi:type="dcterms:W3CDTF">2026-08-31T21:15:36.745Z</dcterms:modified>
</cp:coreProperties>
</file>

<file path=docProps/custom.xml><?xml version="1.0" encoding="utf-8"?>
<Properties xmlns="http://schemas.openxmlformats.org/officeDocument/2006/custom-properties" xmlns:vt="http://schemas.openxmlformats.org/officeDocument/2006/docPropsVTypes"/>
</file>