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8576" w14:textId="77777777" w:rsidR="00787B48" w:rsidRDefault="00000000">
      <w:pPr>
        <w:pStyle w:val="Heading1"/>
      </w:pPr>
      <w:bookmarkStart w:id="0" w:name="chapter-2-literature-review"/>
      <w:r>
        <w:t>Chapter 2: Literature Review</w:t>
      </w:r>
      <w:bookmarkEnd w:id="0"/>
    </w:p>
    <w:p w14:paraId="2311E5C6" w14:textId="77777777" w:rsidR="00787B48" w:rsidRDefault="00000000">
      <w:pPr>
        <w:pStyle w:val="Heading2"/>
      </w:pPr>
      <w:bookmarkStart w:id="1" w:name="overview"/>
      <w:r>
        <w:t>2.1 Overview</w:t>
      </w:r>
      <w:bookmarkEnd w:id="1"/>
    </w:p>
    <w:p w14:paraId="00A8919C" w14:textId="77777777" w:rsidR="00787B48" w:rsidRDefault="00000000">
      <w:r>
        <w:t xml:space="preserve">The volatility-forecasting literature has accumulated for four decades along four substantially independent tracks. The </w:t>
      </w:r>
      <w:r>
        <w:rPr>
          <w:b/>
        </w:rPr>
        <w:t>parametric econometric</w:t>
      </w:r>
      <w:r>
        <w:t xml:space="preserve"> tradition, originating in the ARCH model of Engle (1982) and maturing into the GARCH family of conditional-variance specifications, supplies the parsimonious baselines against which any new proposal must be measured. The </w:t>
      </w:r>
      <w:r>
        <w:rPr>
          <w:b/>
        </w:rPr>
        <w:t>regime-switching</w:t>
      </w:r>
      <w:r>
        <w:t xml:space="preserve"> tradition treats markets as transitioning between qualitatively distinct latent states and supplies the inferential machinery for extracting them from observed returns. The </w:t>
      </w:r>
      <w:r>
        <w:rPr>
          <w:b/>
        </w:rPr>
        <w:t>deep-learning</w:t>
      </w:r>
      <w:r>
        <w:t xml:space="preserve"> tradition, built on the Long Short-Term Memory cell, supplies the non-linear sequence model that learns the residual structure within those states. The </w:t>
      </w:r>
      <w:r>
        <w:rPr>
          <w:b/>
        </w:rPr>
        <w:t>probabilistic-machine-learning</w:t>
      </w:r>
      <w:r>
        <w:t xml:space="preserve"> tradition addresses the uncertainty of neural predictions through stochastic forward passes and direct quantile estimation, converting point forecasts into calibrated predictive distributions. Underpinning all four, the realised-volatility framework of Andersen, Bollerslev, Diebold and Labys (2003) defines the dependent variable, Patton (2011) supplies the proxy-robust loss functions, and Diebold and Mariano (1995) with Giacomini and White (2006) supply the inferential apparatus for pairwise forecast comparison. Table 2.1 summarises the four traditions and their specific contribution to the dissertation’s methodology.</w:t>
      </w:r>
    </w:p>
    <w:p w14:paraId="5DE6B562" w14:textId="77777777" w:rsidR="00787B48" w:rsidRDefault="00000000">
      <w:pPr>
        <w:spacing w:before="240" w:after="120"/>
      </w:pPr>
      <w:r>
        <w:rPr>
          <w:b/>
          <w:sz w:val="22"/>
        </w:rPr>
        <w:t xml:space="preserve">Table 2.1. </w:t>
      </w:r>
      <w:r>
        <w:rPr>
          <w:sz w:val="22"/>
        </w:rPr>
        <w:t>The four forecasting traditions synthesised in this dissertation and their methodological role in Chapter 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118"/>
        <w:gridCol w:w="4252"/>
      </w:tblGrid>
      <w:tr w:rsidR="00787B48" w14:paraId="40A25CEE" w14:textId="77777777">
        <w:trPr>
          <w:jc w:val="center"/>
        </w:trPr>
        <w:tc>
          <w:tcPr>
            <w:tcW w:w="1701" w:type="dxa"/>
            <w:shd w:val="clear" w:color="auto" w:fill="D9D9D9"/>
          </w:tcPr>
          <w:p w14:paraId="76C954C7" w14:textId="77777777" w:rsidR="00787B48" w:rsidRDefault="00000000">
            <w:r>
              <w:rPr>
                <w:b/>
                <w:sz w:val="22"/>
              </w:rPr>
              <w:t>Tradition</w:t>
            </w:r>
          </w:p>
        </w:tc>
        <w:tc>
          <w:tcPr>
            <w:tcW w:w="3118" w:type="dxa"/>
            <w:shd w:val="clear" w:color="auto" w:fill="D9D9D9"/>
          </w:tcPr>
          <w:p w14:paraId="24C65C57" w14:textId="77777777" w:rsidR="00787B48" w:rsidRDefault="00000000">
            <w:r>
              <w:rPr>
                <w:b/>
                <w:sz w:val="22"/>
              </w:rPr>
              <w:t>Key Authors</w:t>
            </w:r>
          </w:p>
        </w:tc>
        <w:tc>
          <w:tcPr>
            <w:tcW w:w="4252" w:type="dxa"/>
            <w:shd w:val="clear" w:color="auto" w:fill="D9D9D9"/>
          </w:tcPr>
          <w:p w14:paraId="68D14DCB" w14:textId="77777777" w:rsidR="00787B48" w:rsidRDefault="00000000">
            <w:r>
              <w:rPr>
                <w:b/>
                <w:sz w:val="22"/>
              </w:rPr>
              <w:t>Primary Contribution to this Dissertation's Methodology</w:t>
            </w:r>
          </w:p>
        </w:tc>
      </w:tr>
      <w:tr w:rsidR="00787B48" w14:paraId="562C79AD" w14:textId="77777777">
        <w:trPr>
          <w:jc w:val="center"/>
        </w:trPr>
        <w:tc>
          <w:tcPr>
            <w:tcW w:w="1701" w:type="dxa"/>
          </w:tcPr>
          <w:p w14:paraId="2FD3FDCA" w14:textId="77777777" w:rsidR="00787B48" w:rsidRDefault="00000000">
            <w:r>
              <w:rPr>
                <w:sz w:val="20"/>
              </w:rPr>
              <w:t>Parametric GARCH</w:t>
            </w:r>
          </w:p>
        </w:tc>
        <w:tc>
          <w:tcPr>
            <w:tcW w:w="3118" w:type="dxa"/>
          </w:tcPr>
          <w:p w14:paraId="72BBF45D" w14:textId="43D57A24" w:rsidR="00787B48" w:rsidRDefault="00000000">
            <w:r>
              <w:rPr>
                <w:sz w:val="20"/>
              </w:rPr>
              <w:t>Engle (1982)</w:t>
            </w:r>
            <w:r w:rsidR="00B73C32">
              <w:rPr>
                <w:sz w:val="20"/>
              </w:rPr>
              <w:t>,</w:t>
            </w:r>
            <w:r>
              <w:rPr>
                <w:sz w:val="20"/>
              </w:rPr>
              <w:t xml:space="preserve"> Bollerslev (1986) Nelson (1991)</w:t>
            </w:r>
            <w:r w:rsidR="00B73C32">
              <w:rPr>
                <w:sz w:val="20"/>
              </w:rPr>
              <w:t xml:space="preserve">, </w:t>
            </w:r>
            <w:r>
              <w:rPr>
                <w:sz w:val="20"/>
              </w:rPr>
              <w:t xml:space="preserve"> </w:t>
            </w:r>
            <w:proofErr w:type="spellStart"/>
            <w:r>
              <w:rPr>
                <w:sz w:val="20"/>
              </w:rPr>
              <w:t>Glosten</w:t>
            </w:r>
            <w:proofErr w:type="spellEnd"/>
            <w:r>
              <w:rPr>
                <w:sz w:val="20"/>
              </w:rPr>
              <w:t xml:space="preserve"> Jagannathan and Runkle (1993)</w:t>
            </w:r>
            <w:r w:rsidR="00B73C32">
              <w:rPr>
                <w:sz w:val="20"/>
              </w:rPr>
              <w:t>,</w:t>
            </w:r>
            <w:r>
              <w:rPr>
                <w:sz w:val="20"/>
              </w:rPr>
              <w:t xml:space="preserve"> Corsi (2009)</w:t>
            </w:r>
            <w:r w:rsidR="00B73C32">
              <w:rPr>
                <w:sz w:val="20"/>
              </w:rPr>
              <w:t>,</w:t>
            </w:r>
            <w:r>
              <w:rPr>
                <w:sz w:val="20"/>
              </w:rPr>
              <w:t xml:space="preserve"> Hansen and Lunde (2005)</w:t>
            </w:r>
          </w:p>
        </w:tc>
        <w:tc>
          <w:tcPr>
            <w:tcW w:w="4252" w:type="dxa"/>
          </w:tcPr>
          <w:p w14:paraId="2F9A86A7" w14:textId="77777777" w:rsidR="00787B48" w:rsidRDefault="00000000">
            <w:r>
              <w:rPr>
                <w:sz w:val="20"/>
              </w:rPr>
              <w:t>Supplies GARCH(1,1), EGARCH and HAR-RV as parsimonious econometric baselines; Hansen and Lunde set the empirical bar that any new proposal must clear under proxy-robust losses.</w:t>
            </w:r>
          </w:p>
        </w:tc>
      </w:tr>
      <w:tr w:rsidR="00787B48" w14:paraId="76A12B3E" w14:textId="77777777">
        <w:trPr>
          <w:jc w:val="center"/>
        </w:trPr>
        <w:tc>
          <w:tcPr>
            <w:tcW w:w="1701" w:type="dxa"/>
          </w:tcPr>
          <w:p w14:paraId="0344C6DB" w14:textId="77777777" w:rsidR="00787B48" w:rsidRDefault="00000000">
            <w:r>
              <w:rPr>
                <w:sz w:val="20"/>
              </w:rPr>
              <w:t>Regime-Switching</w:t>
            </w:r>
          </w:p>
        </w:tc>
        <w:tc>
          <w:tcPr>
            <w:tcW w:w="3118" w:type="dxa"/>
          </w:tcPr>
          <w:p w14:paraId="008D6D58" w14:textId="6294CBEA" w:rsidR="00787B48" w:rsidRDefault="00000000">
            <w:r>
              <w:rPr>
                <w:sz w:val="20"/>
              </w:rPr>
              <w:t>Hamilton (1989)</w:t>
            </w:r>
            <w:r w:rsidR="00B73C32">
              <w:rPr>
                <w:sz w:val="20"/>
              </w:rPr>
              <w:t>,</w:t>
            </w:r>
            <w:r>
              <w:rPr>
                <w:sz w:val="20"/>
              </w:rPr>
              <w:t xml:space="preserve"> Nystrup Lindstrom and Madsen (2020)</w:t>
            </w:r>
          </w:p>
        </w:tc>
        <w:tc>
          <w:tcPr>
            <w:tcW w:w="4252" w:type="dxa"/>
          </w:tcPr>
          <w:p w14:paraId="4CA87BC6" w14:textId="77777777" w:rsidR="00787B48" w:rsidRDefault="00000000">
            <w:r>
              <w:rPr>
                <w:sz w:val="20"/>
              </w:rPr>
              <w:t>Supplies the Gaussian-emission Hidden Markov Model and the jump-penalised estimator that yields a persistent discrete latent state, used as a conditioning input to the LSTM.</w:t>
            </w:r>
          </w:p>
        </w:tc>
      </w:tr>
      <w:tr w:rsidR="00787B48" w14:paraId="1DDC834C" w14:textId="77777777">
        <w:trPr>
          <w:jc w:val="center"/>
        </w:trPr>
        <w:tc>
          <w:tcPr>
            <w:tcW w:w="1701" w:type="dxa"/>
          </w:tcPr>
          <w:p w14:paraId="2004F232" w14:textId="77777777" w:rsidR="00787B48" w:rsidRDefault="00000000">
            <w:r>
              <w:rPr>
                <w:sz w:val="20"/>
              </w:rPr>
              <w:t>Deep Learning</w:t>
            </w:r>
          </w:p>
        </w:tc>
        <w:tc>
          <w:tcPr>
            <w:tcW w:w="3118" w:type="dxa"/>
          </w:tcPr>
          <w:p w14:paraId="78CC27A0" w14:textId="51BD8EFE" w:rsidR="00787B48" w:rsidRPr="00B73C32" w:rsidRDefault="00000000">
            <w:pPr>
              <w:rPr>
                <w:lang w:val="de-DE"/>
              </w:rPr>
            </w:pPr>
            <w:r w:rsidRPr="00B73C32">
              <w:rPr>
                <w:sz w:val="20"/>
                <w:lang w:val="de-DE"/>
              </w:rPr>
              <w:t>Hochreiter and Schmidhuber (1997)</w:t>
            </w:r>
            <w:r w:rsidR="00B73C32" w:rsidRPr="00B73C32">
              <w:rPr>
                <w:sz w:val="20"/>
                <w:lang w:val="de-DE"/>
              </w:rPr>
              <w:t>,</w:t>
            </w:r>
            <w:r w:rsidRPr="00B73C32">
              <w:rPr>
                <w:sz w:val="20"/>
                <w:lang w:val="de-DE"/>
              </w:rPr>
              <w:t xml:space="preserve"> Lim and </w:t>
            </w:r>
            <w:proofErr w:type="spellStart"/>
            <w:r w:rsidRPr="00B73C32">
              <w:rPr>
                <w:sz w:val="20"/>
                <w:lang w:val="de-DE"/>
              </w:rPr>
              <w:t>Zohren</w:t>
            </w:r>
            <w:proofErr w:type="spellEnd"/>
            <w:r w:rsidRPr="00B73C32">
              <w:rPr>
                <w:sz w:val="20"/>
                <w:lang w:val="de-DE"/>
              </w:rPr>
              <w:t xml:space="preserve"> (2021)</w:t>
            </w:r>
            <w:r w:rsidR="00B73C32" w:rsidRPr="00B73C32">
              <w:rPr>
                <w:sz w:val="20"/>
                <w:lang w:val="de-DE"/>
              </w:rPr>
              <w:t>,</w:t>
            </w:r>
            <w:r w:rsidR="00B73C32">
              <w:rPr>
                <w:sz w:val="20"/>
                <w:lang w:val="de-DE"/>
              </w:rPr>
              <w:t xml:space="preserve"> </w:t>
            </w:r>
            <w:r w:rsidRPr="00B73C32">
              <w:rPr>
                <w:sz w:val="20"/>
                <w:lang w:val="de-DE"/>
              </w:rPr>
              <w:t>Kim and Won (2018)</w:t>
            </w:r>
            <w:r w:rsidR="00B73C32">
              <w:rPr>
                <w:sz w:val="20"/>
                <w:lang w:val="de-DE"/>
              </w:rPr>
              <w:t>,</w:t>
            </w:r>
            <w:r w:rsidRPr="00B73C32">
              <w:rPr>
                <w:sz w:val="20"/>
                <w:lang w:val="de-DE"/>
              </w:rPr>
              <w:t xml:space="preserve"> Bucci (2020)</w:t>
            </w:r>
          </w:p>
        </w:tc>
        <w:tc>
          <w:tcPr>
            <w:tcW w:w="4252" w:type="dxa"/>
          </w:tcPr>
          <w:p w14:paraId="4B191F8F" w14:textId="77777777" w:rsidR="00787B48" w:rsidRDefault="00000000">
            <w:r>
              <w:rPr>
                <w:sz w:val="20"/>
              </w:rPr>
              <w:t>Supplies the LSTM as the non-linear sequence model and establishes that hybrid statistical-neural designs outperform either component alone on financial sequences.</w:t>
            </w:r>
          </w:p>
        </w:tc>
      </w:tr>
      <w:tr w:rsidR="00787B48" w14:paraId="54A4C2B6" w14:textId="77777777">
        <w:trPr>
          <w:jc w:val="center"/>
        </w:trPr>
        <w:tc>
          <w:tcPr>
            <w:tcW w:w="1701" w:type="dxa"/>
          </w:tcPr>
          <w:p w14:paraId="2FA5C5FD" w14:textId="77777777" w:rsidR="00787B48" w:rsidRDefault="00000000">
            <w:r>
              <w:rPr>
                <w:sz w:val="20"/>
              </w:rPr>
              <w:t>Probabilistic / UQ</w:t>
            </w:r>
          </w:p>
        </w:tc>
        <w:tc>
          <w:tcPr>
            <w:tcW w:w="3118" w:type="dxa"/>
          </w:tcPr>
          <w:p w14:paraId="05A94A6A" w14:textId="566BDDB7" w:rsidR="00787B48" w:rsidRDefault="00000000">
            <w:r>
              <w:rPr>
                <w:sz w:val="20"/>
              </w:rPr>
              <w:t>Gal and Ghahramani (2016)</w:t>
            </w:r>
            <w:r w:rsidR="00B73C32">
              <w:rPr>
                <w:sz w:val="20"/>
              </w:rPr>
              <w:t>,</w:t>
            </w:r>
            <w:r>
              <w:rPr>
                <w:sz w:val="20"/>
              </w:rPr>
              <w:t xml:space="preserve"> Engle and Manganelli (2004)</w:t>
            </w:r>
            <w:r w:rsidR="00B73C32">
              <w:rPr>
                <w:sz w:val="20"/>
              </w:rPr>
              <w:t>,</w:t>
            </w:r>
            <w:r>
              <w:rPr>
                <w:sz w:val="20"/>
              </w:rPr>
              <w:t xml:space="preserve"> Gneiting and Raftery (2007)</w:t>
            </w:r>
          </w:p>
        </w:tc>
        <w:tc>
          <w:tcPr>
            <w:tcW w:w="4252" w:type="dxa"/>
          </w:tcPr>
          <w:p w14:paraId="4A986D45" w14:textId="77777777" w:rsidR="00787B48" w:rsidRDefault="00000000">
            <w:r>
              <w:rPr>
                <w:sz w:val="20"/>
              </w:rPr>
              <w:t>Supplies Monte Carlo Dropout (Bayesian-approximate) and pinball-loss quantile regression (distribution-free econometric) as two complementary UQ routes evaluated under proper scoring rules.</w:t>
            </w:r>
          </w:p>
        </w:tc>
      </w:tr>
    </w:tbl>
    <w:p w14:paraId="4FCEA75E" w14:textId="77777777" w:rsidR="00787B48" w:rsidRDefault="00000000">
      <w:r>
        <w:t>Each paper is included because it directly supports a specific design decision in Chapter 3 — by establishing an empirical phenomenon the model must reproduce, defining a benchmark, or supplying the technical apparatus on which the implementation rests. The chapter proceeds by workstream: Section 2.2 reviews the empirical foundations of conditional volatility; Section 2.3 treats realised volatility and proxy-robust evaluation; Section 2.4 surveys regime-switching dynamics; Section 2.5 considers deep learning for financial time series; Section 2.6 examines uncertainty quantification; Section 2.7 covers forecast-comparison methodology; and Section 2.8 synthesises the gap the dissertation addresses.</w:t>
      </w:r>
    </w:p>
    <w:p w14:paraId="45F7A687" w14:textId="77777777" w:rsidR="00787B48" w:rsidRDefault="00000000">
      <w:pPr>
        <w:pStyle w:val="Heading2"/>
      </w:pPr>
      <w:bookmarkStart w:id="2" w:name="Xdb0b12761a3df46991c3459d4f44373dbcd670f"/>
      <w:r>
        <w:lastRenderedPageBreak/>
        <w:t>2.2 Empirical Foundations of Conditional Volatility</w:t>
      </w:r>
      <w:bookmarkEnd w:id="2"/>
    </w:p>
    <w:p w14:paraId="48BC59AA" w14:textId="77777777" w:rsidR="00787B48" w:rsidRDefault="00000000">
      <w:r>
        <w:t>Any credible model of asset-return volatility must reproduce a small set of stylised empirical facts now widely accepted across asset classes: returns are approximately uncorrelated, yet their absolute and squared values display strong serial dependence; the unconditional distribution is leptokurtic and heavy-tailed; volatility clusters in time, with large moves succeeded by further large moves of either sign; and negative shocks raise future variance more than positive shocks of equal magnitude (Cont, 2001). These are not statistical curiosities but structural features that constrain modelling choices, since any specification that fails to capture them will misprice tail risk and underreact to crises. They serve two purposes for the present dissertation: they define the empirical contract against which the GARCH baselines and the deep models of Section 2.5 are judged, and they justify the move toward regime-aware estimation, since the magnitude and persistence of these features differ qualitatively across market environments and cannot be captured by a single parametric specification calibrated to the full sample.</w:t>
      </w:r>
    </w:p>
    <w:p w14:paraId="7CC8B9AD" w14:textId="77777777" w:rsidR="00787B48" w:rsidRDefault="00000000">
      <w:r>
        <w:t>The most durable parametric response to those features is the Generalised Autoregressive Conditional Heteroskedasticity model of Bollerslev (1986), which builds directly on Engle’s (1982) ARCH framework by expressing conditional variance as a linear function of past squared residuals and past conditional variances. The GARCH(1,1) specification reduces this to two parameters with a clean economic interpretation — a short-run shock-response component and a longer-run persistence component — alongside a closed-form unconditional variance. Its limitations are well documented: Gaussian innovations understate tail risk, the symmetric variance equation cannot accommodate the leverage effect, and a single parameter vector is implicitly assumed stable across regimes. The model is adopted as the dissertation’s primary econometric baseline not because it is the most sophisticated specification available but because it is the standard against which any alternative — including the deep-learning models that follow — must demonstrate its value.</w:t>
      </w:r>
    </w:p>
    <w:p w14:paraId="3B8829C5" w14:textId="77777777" w:rsidR="00787B48" w:rsidRDefault="00000000">
      <w:r>
        <w:t>The first widely adopted parametric response to the leverage effect, by which negative shocks raise future variance more than positive shocks of equal magnitude, is the Exponential GARCH (EGARCH) of Nelson (1991). Modelling the logarithm of conditional variance rather than its level guarantees positivity without imposing parameter restrictions, removing a recurrent source of numerical instability in extended GARCH-family models. Allowing innovations to enter through both their sign and their magnitude captures asymmetric responses directly rather than through a piecewise indicator. EGARCH is included in this dissertation precisely because it isolates one specific dimension along which GARCH(1,1) is known to be deficient: comparing the proposed regime-aware deep model against both GARCH(1,1) and EGARCH allows the dissertation to test whether any observed improvement reflects genuine non-linear learning of regime-conditional dynamics, or merely the absorption of asymmetric responses that EGARCH already captures within a single parametric specification.</w:t>
      </w:r>
    </w:p>
    <w:p w14:paraId="71B73139" w14:textId="77777777" w:rsidR="00787B48" w:rsidRDefault="00000000">
      <w:r>
        <w:t xml:space="preserve">The bar that any new volatility forecast must clear remains high, and the most cited evidence on the matter is Hansen and Lunde’s (2005) comparison of 330 GARCH-family specifications on exchange-rate and equity data. For exchange-rate volatility their conclusion was uncompromising: under proxy-robust loss functions, none of the elaborate specifications they evaluated produced a statistically significant improvement over the basic GARCH(1,1). The equity result was more nuanced, with asymmetric specifications such as EGARCH and GJR-GARCH (Glosten, Jagannathan and Runkle, 1993) sometimes preferred. The implication is direct: an alternative model must not merely fit better in-sample but deliver consistent out-of-sample gains that survive statistical scrutiny under proxy-robust losses. This </w:t>
      </w:r>
      <w:r>
        <w:lastRenderedPageBreak/>
        <w:t>evidence motivates the rigorous use of pairwise significance testing in Section 2.7 and justifies the inclusion of EGARCH as a second econometric baseline alongside GARCH(1,1).</w:t>
      </w:r>
    </w:p>
    <w:p w14:paraId="1BE83C90" w14:textId="77777777" w:rsidR="00787B48" w:rsidRDefault="00000000">
      <w:pPr>
        <w:pStyle w:val="Heading2"/>
      </w:pPr>
      <w:bookmarkStart w:id="3" w:name="X6a674fe5361fec0b03881d7accfdc05a4ff0d1d"/>
      <w:r>
        <w:t>2.3 Realised Volatility and Proxy-Robust Evaluation</w:t>
      </w:r>
      <w:bookmarkEnd w:id="3"/>
    </w:p>
    <w:p w14:paraId="376826AC" w14:textId="77777777" w:rsidR="00787B48" w:rsidRDefault="00000000">
      <w:r>
        <w:t>The most consequential shift in the volatility-forecasting literature of the past two decades was the recognition that, with high-frequency data, volatility ceases to be a latent quantity that must be inferred under parametric assumptions and becomes approximately observable. Andersen, Bollerslev, Diebold and Labys (2003) made the argument rigorous by showing that the sum of squared intraday returns over a daily window — the realised variance — converges, under standard regularity conditions, to the integrated variance of the underlying diffusion process, and therefore furnishes a nearly model-free estimator of the latent target. The methodological consequences are substantial. With realised volatility as the dependent variable, model evaluation no longer requires squared daily returns as a noisy proxy, and the target itself becomes a smoother, less leptokurtic series that is easier to forecast. The reformulation is also what makes deep-learning forecasters genuinely competitive, since regression on an observable target is the setting in which neural architectures have most consistently outperformed parametric alternatives. The present dissertation accordingly adopts daily realised volatility, constructed from intraday returns in the Andersen et al. (2003) sense, as the dependent variable throughout.</w:t>
      </w:r>
    </w:p>
    <w:p w14:paraId="31A05D77" w14:textId="77777777" w:rsidR="00787B48" w:rsidRDefault="00000000">
      <w:r>
        <w:t>Once realised volatility becomes the target, the choice of loss function acquires direct inferential consequence. Patton (2011) establishes that, when conditional variance is unobserved and replaced by a noisy proxy, only a restricted family of loss functions yields forecast rankings robust to proxy noise: mean squared error remains valid and the QLIKE loss enjoys particularly attractive properties, but losses outside this family can reverse the ordering of two models depending on how the proxy is constructed. QLIKE is especially well suited to volatility applications because it penalises under-prediction of variance more heavily than over-prediction, aligning the statistical objective with the asymmetric economic consequences of underestimating market risk. On the strength of Patton’s (2011) analysis the dissertation adopts QLIKE as its primary out-of-sample metric, with mean squared error reported as a robustness check.</w:t>
      </w:r>
    </w:p>
    <w:p w14:paraId="702E74EB" w14:textId="77777777" w:rsidR="00787B48" w:rsidRDefault="00000000">
      <w:r>
        <w:t>A second methodological development of equal practical importance is the heterogeneous autoregressive model of realised volatility of Corsi (2009), which decomposes the conditional expectation of daily realised variance into linear contributions from daily, weekly and monthly lagged components. Although strictly an approximation rather than a true long-memory specification, the heterogeneous structure captures the persistence of realised volatility parsimoniously and routinely matches or exceeds more elaborate fractionally integrated alternatives on equity indices. HAR-RV has become the de facto benchmark in the modern realised-volatility literature, and is included in this dissertation as a third econometric baseline alongside GARCH(1,1) and EGARCH. Its inclusion is methodologically essential: a deep-learning forecaster that fails to improve on HAR-RV on its native target is not a credible alternative for daily realised-volatility prediction, regardless of how favourably it compares against return-based GARCH specifications.</w:t>
      </w:r>
    </w:p>
    <w:p w14:paraId="414861A5" w14:textId="77777777" w:rsidR="00787B48" w:rsidRDefault="00000000">
      <w:pPr>
        <w:pStyle w:val="Heading2"/>
      </w:pPr>
      <w:bookmarkStart w:id="4" w:name="regime-switching-dynamics"/>
      <w:r>
        <w:t>2.4 Regime-Switching Dynamics</w:t>
      </w:r>
      <w:bookmarkEnd w:id="4"/>
    </w:p>
    <w:p w14:paraId="10D6BD9A" w14:textId="77777777" w:rsidR="00787B48" w:rsidRDefault="00000000">
      <w:r>
        <w:t xml:space="preserve">The empirical proposition that financial markets transition between qualitatively distinct dynamic regimes is older than the deep-learning literature by half a century, and its formal econometric foundation is the Markov-switching model of Hamilton (1989). Treating the data-generating process for a non-stationary series as a mixture of stationary processes governed by an unobservable discrete state that evolves as a first-order Markov chain, the </w:t>
      </w:r>
      <w:r>
        <w:lastRenderedPageBreak/>
        <w:t xml:space="preserve">model captures abrupt regime changes — recessions, monetary-policy shifts, financial crises — that single-regime specifications cannot accommodate, and admits efficient maximum-likelihood estimation through the filter that bears his name. The smoothed state probabilities furnish interpretable retrospective inference about which regime was active at each historical date, a property that makes the framework attractive for both forecasting and ex-post narrative. The dissertation adopts a </w:t>
      </w:r>
      <w:r>
        <w:rPr>
          <w:b/>
        </w:rPr>
        <w:t>Gaussian-emission Hidden Markov Model</w:t>
      </w:r>
      <w:r>
        <w:t xml:space="preserve"> rather than a Markov-switching autoregression: each regime is parameterised as a Gaussian distribution over standardised daily log returns, the transition matrix is estimated by the Baum–Welch algorithm, and the most likely state sequence is recovered by Viterbi decoding. The choice is deliberate. The Gaussian-emission form keeps the regime model deliberately simple, leaving the non-linear within-regime structure to be modelled downstream by the LSTM (Section 2.5), and avoiding the identification difficulties that arise when both the switching dynamics and the within-regime dynamics are estimated jointly under a richer emission family.</w:t>
      </w:r>
    </w:p>
    <w:p w14:paraId="19347B70" w14:textId="77777777" w:rsidR="00787B48" w:rsidRDefault="00000000">
      <w:r>
        <w:t xml:space="preserve">Regime identification is itself an inferential problem with non-trivial robustness implications, and Nystrup, Lindstrom and Madsen (2020) sharpen the practical case for Hidden Markov regime detection in finance by isolating one of its most persistent pathologies. Standard maximum-likelihood estimation tends to switch states more rapidly than the data warrant, producing implausibly frequent transitions that contaminate any downstream forecast that conditions on them; their proposed remedy augments the log-likelihood with an explicit penalty on state transitions, yielding more persistent state sequences and better out-of-sample regime classification on equity-return data. The broader lesson is that a model conditioned on a misclassified regime inherits the misclassification error rather than correcting for it, and that the apparent gain from regime conditioning can mask noise in the regime estimate itself. </w:t>
      </w:r>
      <w:r>
        <w:rPr>
          <w:b/>
        </w:rPr>
        <w:t>The dissertation adopts the Nystrup et al. (2020) jump-penalised estimator directly as the specific remedy for state-switching noise</w:t>
      </w:r>
      <w:r>
        <w:t>: the regularisation parameter that controls the cost of state transitions is selected by cross-validation on a held-out segment of the training data; the number of HMM states is fixed conservatively at three, corresponding to calm, transitional and crisis regimes; state persistence and unconditional state probabilities are inspected as diagnostics during model selection; and forecast errors are reported regime-by-regime so that the contribution of regime conditioning is auditable rather than assumed.</w:t>
      </w:r>
    </w:p>
    <w:p w14:paraId="0D703DE6" w14:textId="77777777" w:rsidR="00787B48" w:rsidRDefault="00000000">
      <w:pPr>
        <w:pStyle w:val="Heading2"/>
      </w:pPr>
      <w:bookmarkStart w:id="5" w:name="deep-learning-for-financial-time-series"/>
      <w:r>
        <w:t>2.5 Deep Learning for Financial Time Series</w:t>
      </w:r>
      <w:bookmarkEnd w:id="5"/>
    </w:p>
    <w:p w14:paraId="26035B9A" w14:textId="77777777" w:rsidR="00787B48" w:rsidRDefault="00000000">
      <w:r>
        <w:t>The architectural backbone of the dissertation’s deep models is the Long Short-Term Memory cell of Hochreiter and Schmidhuber (1997), which remains the workhorse of sequence modelling on tasks with moderate context lengths and limited data — both of which describe daily financial time series. By introducing input, output and forget gates that regulate information flow through a constant-error-carousel memory unit, the design overcame the vanishing-gradient pathology that had previously made recurrent networks impractical for long-range dependencies. The LSTM’s inductive bias — that the present is best predicted from a learned, selectively retained summary of the recent past — aligns with the persistence structure of volatility documented by Cont (2001). The architecture is adopted in preference to transformer alternatives because it is parsimonious relative to the modest sample sizes available in daily financial data, trains stably under standard optimisation procedures, and admits inspection of its dependence on past observations through gate-activation patterns and gradient-based sensitivities.</w:t>
      </w:r>
    </w:p>
    <w:p w14:paraId="69DDDB84" w14:textId="77777777" w:rsidR="00787B48" w:rsidRDefault="00000000">
      <w:r>
        <w:t xml:space="preserve">The broader landscape of deep learning for time series is most usefully surveyed by Lim and Zohren (2021), whose review supplies the design vocabulary used throughout this dissertation. They systematise the field into encoder–decoder architectures, hybrid models that combine neural components with classical statistical structure, and attention-based </w:t>
      </w:r>
      <w:r>
        <w:lastRenderedPageBreak/>
        <w:t xml:space="preserve">approaches such as the Temporal Fusion Transformer, and they articulate two principles particularly relevant to volatility forecasting. The first is that financial sequences benefit from architectures with strong temporal inductive bias, because their effective sample sizes are small relative to those of natural-language or vision tasks. The second is that hybrid approaches, in which a neural network learns residual structure on top of a statistical baseline, frequently outperform either component alone. Both observations motivate the </w:t>
      </w:r>
      <w:r>
        <w:rPr>
          <w:b/>
        </w:rPr>
        <w:t>regime-aware</w:t>
      </w:r>
      <w:r>
        <w:t xml:space="preserve"> variant proposed in Chapter 3, in which the network is conditioned on an external state estimate rather than expected to learn the regime structure unsupervised. The theoretical motivation for this division of labour is precise: the Hidden Markov Model of Section 2.4 resolves the </w:t>
      </w:r>
      <w:r>
        <w:rPr>
          <w:b/>
        </w:rPr>
        <w:t>discrete regime-identification problem</w:t>
      </w:r>
      <w:r>
        <w:t xml:space="preserve"> — calm, transitional, crisis — that a single-regime parametric specification cannot accommodate, while the LSTM resolves the </w:t>
      </w:r>
      <w:r>
        <w:rPr>
          <w:b/>
        </w:rPr>
        <w:t>continuous, non-linear residual dynamics conditional on that state</w:t>
      </w:r>
      <w:r>
        <w:t xml:space="preserve"> that the Gaussian-emission HMM is deliberately too simple to capture. The two components are therefore complementary rather than redundant: the HMM supplies a low-dimensional latent state that varies on the time scale of business cycles, and the LSTM exploits its temporal inductive bias to learn the within-regime persistence and shock-response patterns that vary on the time scale of days. The regime-aware LSTM proposed in Chapter 3 makes this decomposition explicit by passing the smoothed state probabilities from the HMM as an additional input to the recurrent network.</w:t>
      </w:r>
    </w:p>
    <w:p w14:paraId="7F3B361C" w14:textId="77777777" w:rsidR="00787B48" w:rsidRDefault="00000000">
      <w:r>
        <w:t>The most direct empirical precedents are two studies comparing recurrent networks against econometric baselines on equity volatility, neither of which is an exact analogue of the present setting. Kim and Won (2018) integrate an LSTM with several GARCH-type variants on daily data for the Korean KOSPI 200 index, reporting that the hybrid reduces forecast error relative to either pure component. Bucci (2020) extends the comparison to monthly realised volatility on the S&amp;P 500, evaluating feed-forward networks, LSTMs and nonlinear autoregressive networks against ARFIMA and HAR baselines, concluding that recurrent architectures deliver the most accurate forecasts among the deep models considered. Together they establish that LSTM-based models can match or modestly exceed econometric baselines on equity volatility, but neither operates on daily realised volatility for a major US equity index, neither conditions explicitly on market regime, neither produces calibrated uncertainty estimates, and neither subjects the comparison to the proxy-robust statistical tests of Section 2.7 — four limitations the present dissertation is designed to address jointly.</w:t>
      </w:r>
    </w:p>
    <w:p w14:paraId="1D97C43D" w14:textId="77777777" w:rsidR="00787B48" w:rsidRDefault="00000000">
      <w:pPr>
        <w:pStyle w:val="Heading2"/>
      </w:pPr>
      <w:bookmarkStart w:id="6" w:name="X52a78444787454871f991dd5dc3eed38c292db5"/>
      <w:r>
        <w:t>2.6 Uncertainty Quantification in Deep Forecasting</w:t>
      </w:r>
      <w:bookmarkEnd w:id="6"/>
    </w:p>
    <w:p w14:paraId="62501992" w14:textId="77777777" w:rsidR="00787B48" w:rsidRDefault="00000000">
      <w:r>
        <w:t xml:space="preserve">The dissertation adopts two complementary uncertainty-quantification methods, chosen to </w:t>
      </w:r>
      <w:r>
        <w:rPr>
          <w:b/>
        </w:rPr>
        <w:t>balance computational efficiency with econometric robustness</w:t>
      </w:r>
      <w:r>
        <w:t xml:space="preserve">. Monte Carlo Dropout (Gal and Ghahramani, 2016) supplies a </w:t>
      </w:r>
      <w:r>
        <w:rPr>
          <w:b/>
        </w:rPr>
        <w:t>Bayesian-approximate</w:t>
      </w:r>
      <w:r>
        <w:t xml:space="preserve"> route that requires no architectural changes and no additional training; pinball-loss quantile regression, motivated by the CAViaR framework of Engle and Manganelli (2004), supplies a </w:t>
      </w:r>
      <w:r>
        <w:rPr>
          <w:b/>
        </w:rPr>
        <w:t>distribution-free econometric</w:t>
      </w:r>
      <w:r>
        <w:t xml:space="preserve"> route that imposes no parametric assumption on the conditional return distribution. The two are paired deliberately because their failure modes do not overlap: Dropout’s variational approximation may underestimate uncertainty under distribution shift, while quantile-regression intervals lack formal coverage guarantees and must be validated empirically. Reporting both, under the proper scoring rules of Gneiting and Raftery (2007), supplies a more defensible probabilistic forecast than either method alone.</w:t>
      </w:r>
    </w:p>
    <w:p w14:paraId="35F1E5D5" w14:textId="77777777" w:rsidR="00787B48" w:rsidRDefault="00000000">
      <w:r>
        <w:t xml:space="preserve">Gal and Ghahramani (2016) show that a deep network trained with dropout regularisation can be reinterpreted as approximate Bayesian inference over a deep Gaussian-process prior, with stochastic forward passes at test time sampling from the posterior predictive distribution. The principal limitation, well documented in subsequent work, is that the dropout rate functions </w:t>
      </w:r>
      <w:r>
        <w:lastRenderedPageBreak/>
        <w:t>as a hyperparameter materially affecting the magnitude of predictive variance, and that the resulting estimates can be over-confident under distribution shift — the regime that matters most for financial applications, since the test period typically contains conditions that differ from those seen during training. The dissertation therefore validates Monte Carlo Dropout’s calibration empirically against held-out coverage rather than asserting the theoretical Bayesian interpretation.</w:t>
      </w:r>
    </w:p>
    <w:p w14:paraId="1C0AF685" w14:textId="77777777" w:rsidR="00787B48" w:rsidRDefault="00000000">
      <w:r>
        <w:t>Engle and Manganelli (2004) introduced the Conditional Autoregressive Value at Risk (CAViaR) framework, in which the conditional quantiles of the return distribution are modelled through an autoregressive recursion estimated by minimising the pinball loss — the same asymmetric, distribution-free loss function later adopted by neural quantile regression and refined for finite-sample coverage by conformal methods. Their paper also introduced the dynamic quantile test for evaluating the adequacy of value-at-risk forecasts, complementing the more general coverage tests subsequently developed for interval forecasts. The CAViaR framework supplies the methodological justification for training the LSTM to output a set of conditional quantiles directly via the pinball loss rather than samples from a posterior. The advantage is that no distributional assumption is imposed and the procedure remains valid for the heavy-tailed return distributions characteristic of equity markets; the disadvantage is that quantile crossing must be monitored and corrected post hoc, and the resulting intervals lack the formal coverage guarantees available to fully Bayesian or conformal procedures, which is why the dissertation validates coverage empirically rather than relying on theoretical asymptotics.</w:t>
      </w:r>
    </w:p>
    <w:p w14:paraId="6BA0137F" w14:textId="77777777" w:rsidR="00787B48" w:rsidRDefault="00000000">
      <w:pPr>
        <w:pStyle w:val="Heading2"/>
      </w:pPr>
      <w:bookmarkStart w:id="7" w:name="forecast-evaluation-and-comparison"/>
      <w:r>
        <w:t>2.7 Forecast Evaluation and Comparison</w:t>
      </w:r>
      <w:bookmarkEnd w:id="7"/>
    </w:p>
    <w:p w14:paraId="7718DE67" w14:textId="77777777" w:rsidR="00787B48" w:rsidRDefault="00000000">
      <w:r>
        <w:t>The standard apparatus for testing whether one forecast is statistically more accurate than another is the pairwise test introduced by Diebold and Mariano (1995), which compares the loss differential between two competing forecasts and asks whether its mean is significantly different from zero under a heteroskedasticity- and autocorrelation-consistent estimate of its long-run variance. The test is widely used in volatility forecasting because it accommodates non-Gaussian loss differentials and non-nested model comparisons, both of which are common when comparing parametric econometric models against deep networks. The dissertation uses the Diebold–Mariano test as its primary pairwise significance test for forecast superiority, with the QLIKE loss adopted following Patton (2011). The test’s regularity conditions — in particular weak dependence in the loss differential — are inspected and reported as a robustness exercise, since highly persistent forecast errors can degrade the test’s power and inflate its size, and subsequent work by Giacomini and White (2006) has refined the inferential framework for conditional predictive ability in settings where the underlying loss series inherit the long-memory characteristics of the volatility process.</w:t>
      </w:r>
    </w:p>
    <w:p w14:paraId="10190B95" w14:textId="77777777" w:rsidR="00787B48" w:rsidRDefault="00000000">
      <w:r>
        <w:t xml:space="preserve">The criteria against which the dissertation’s uncertainty-aware variants are judged are supplied by Gneiting and Raftery (2007), whose treatment of proper scoring rules has become the canonical reference for evaluating probabilistic forecasts. They formalise the notion of a strictly proper scoring rule — a loss function whose expected value is minimised at the true predictive distribution — and develop the continuous ranked probability score and the interval (Winkler) score as integrated criteria that reward both location and spread. The paper crystallises a principle implicit in much of the volatility literature: a probabilistic forecast cannot be evaluated by its point estimate alone, since two forecasts with identical means may differ substantially in their tail behaviour and therefore in their economic value to a risk manager who must size positions or set capital reserves. The dissertation accordingly evaluates the Monte Carlo Dropout and quantile-regression variants on coverage, sharpness </w:t>
      </w:r>
      <w:r>
        <w:lastRenderedPageBreak/>
        <w:t>and a proper scoring rule, treating point-forecast accuracy as necessary but not sufficient evidence of model quality.</w:t>
      </w:r>
    </w:p>
    <w:p w14:paraId="2BDE17D7" w14:textId="77777777" w:rsidR="00787B48" w:rsidRDefault="00000000">
      <w:pPr>
        <w:pStyle w:val="Heading2"/>
      </w:pPr>
      <w:bookmarkStart w:id="8" w:name="synthesis-and-identified-gap"/>
      <w:r>
        <w:t>2.8 Synthesis and Identified Gap</w:t>
      </w:r>
      <w:bookmarkEnd w:id="8"/>
    </w:p>
    <w:p w14:paraId="02455C3D" w14:textId="77777777" w:rsidR="00787B48" w:rsidRDefault="00000000">
      <w:r>
        <w:t xml:space="preserve">The four traditions reviewed above describe a coherent intellectual landscape, but one whose components have not yet been integrated into a single empirical pipeline for daily realised-volatility forecasting on a major US equity index. The </w:t>
      </w:r>
      <w:r>
        <w:rPr>
          <w:b/>
        </w:rPr>
        <w:t>parametric econometric</w:t>
      </w:r>
      <w:r>
        <w:t xml:space="preserve"> tradition (Engle, 1982; Bollerslev, 1986; Nelson, 1991; Hansen and Lunde, 2005; Corsi, 2009) has produced parsimonious, interpretable benchmarks against which any new proposal must be measured under proxy-robust losses (Patton, 2011) and significance tests (Diebold and Mariano, 1995; Giacomini and White, 2006), with Corsi’s HAR-RV the standard benchmark on realised-volatility targets reframed by Andersen, Bollerslev, Diebold and Labys (2003). The </w:t>
      </w:r>
      <w:r>
        <w:rPr>
          <w:b/>
        </w:rPr>
        <w:t>regime-switching</w:t>
      </w:r>
      <w:r>
        <w:t xml:space="preserve"> tradition (Hamilton, 1989; Nystrup, Lindstrom and Madsen, 2020) supplies a mature inferential machinery for extracting persistent discrete states, but has been applied almost exclusively in combination with parametric volatility specifications rather than neural architectures. The </w:t>
      </w:r>
      <w:r>
        <w:rPr>
          <w:b/>
        </w:rPr>
        <w:t>deep-learning</w:t>
      </w:r>
      <w:r>
        <w:t xml:space="preserve"> tradition (Hochreiter and Schmidhuber, 1997; Lim and Zohren, 2021) has demonstrated that LSTM-based architectures can match or modestly exceed econometric baselines on equity volatility (Kim and Won, 2018; Bucci, 2020), but the experimental designs vary widely, rarely condition explicitly on market regime, and do not typically operate on daily realised volatility for a major US equity index. The </w:t>
      </w:r>
      <w:r>
        <w:rPr>
          <w:b/>
        </w:rPr>
        <w:t>probabilistic / uncertainty-quantification</w:t>
      </w:r>
      <w:r>
        <w:t xml:space="preserve"> tradition provides two complementary routes to calibrated predictive distributions — Monte Carlo Dropout (Gal and Ghahramani, 2016) and pinball-loss quantile regression rooted in CAViaR (Engle and Manganelli, 2004), evaluated against proper scoring rules (Gneiting and Raftery, 2007) — that have been benchmarked extensively on general tasks but rarely on financial volatility.</w:t>
      </w:r>
    </w:p>
    <w:p w14:paraId="39F04E6D" w14:textId="77777777" w:rsidR="00787B48" w:rsidRDefault="00000000">
      <w:r>
        <w:t xml:space="preserve">The gap is therefore one of </w:t>
      </w:r>
      <w:r>
        <w:rPr>
          <w:b/>
        </w:rPr>
        <w:t>integration</w:t>
      </w:r>
      <w:r>
        <w:t xml:space="preserve"> rather than novelty: the four traditions have matured separately, but their combination on a common evaluation protocol has not been systematically examined. The present dissertation addresses this gap directly. The proposed pipeline assembles GARCH(1,1), EGARCH and HAR-RV as parametric baselines; an unconditional LSTM as a non-linear sequence baseline; a regime-aware LSTM conditioned on a Gaussian-emission HMM estimated with the Nystrup et al. (2020) jump penalty; and uncertainty-aware variants using Monte Carlo Dropout and pinball-loss quantile regression. All models are evaluated on the same out-of-sample window under QLIKE and MSE with Diebold–Mariano significance tests for point forecasts and proper-score diagnostics for the probabilistic variants. The aim is not to introduce a novel architecture but to subject the integrated regime-aware, uncertainty-aware pipeline to a rigorous empirical examination of the kind that the existing literature, taken in isolation, does not yet provide, and thereby to identify which of the three components — regime conditioning, uncertainty quantification, or deep architectural depth — contributes most to forecast quality on daily realised volatility for the S&amp;P 500.</w:t>
      </w:r>
    </w:p>
    <w:p w14:paraId="52FD8344" w14:textId="77777777" w:rsidR="00787B48" w:rsidRDefault="00000000">
      <w:pPr>
        <w:pStyle w:val="Heading1"/>
      </w:pPr>
      <w:bookmarkStart w:id="9" w:name="references"/>
      <w:r>
        <w:t>References</w:t>
      </w:r>
      <w:bookmarkEnd w:id="9"/>
    </w:p>
    <w:p w14:paraId="62A1A61C" w14:textId="77777777" w:rsidR="00787B48" w:rsidRDefault="00000000">
      <w:r>
        <w:t xml:space="preserve">Andersen, T.G., Bollerslev, T., Diebold, F.X. and Labys, P., 2003. Modeling and forecasting realized volatility. </w:t>
      </w:r>
      <w:r>
        <w:rPr>
          <w:i/>
        </w:rPr>
        <w:t>Econometrica</w:t>
      </w:r>
      <w:r>
        <w:t>, 71(2), pp.579–625. https://doi.org/10.1111/1468-0262.00418</w:t>
      </w:r>
    </w:p>
    <w:p w14:paraId="6E6E7B47" w14:textId="77777777" w:rsidR="00787B48" w:rsidRDefault="00000000">
      <w:r>
        <w:t xml:space="preserve">Bollerslev, T., 1986. Generalized autoregressive conditional heteroskedasticity. </w:t>
      </w:r>
      <w:r>
        <w:rPr>
          <w:i/>
        </w:rPr>
        <w:t>Journal of Econometrics</w:t>
      </w:r>
      <w:r>
        <w:t>, 31(3), pp.307–327. https://doi.org/10.1016/0304-4076(86)90063-1</w:t>
      </w:r>
    </w:p>
    <w:p w14:paraId="1F7C3D58" w14:textId="77777777" w:rsidR="00787B48" w:rsidRDefault="00000000">
      <w:r>
        <w:lastRenderedPageBreak/>
        <w:t xml:space="preserve">Bucci, A., 2020. Realized volatility forecasting with neural networks. </w:t>
      </w:r>
      <w:r>
        <w:rPr>
          <w:i/>
        </w:rPr>
        <w:t>Journal of Financial Econometrics</w:t>
      </w:r>
      <w:r>
        <w:t>, 18(3), pp.502–531. https://doi.org/10.1093/jjfinec/nbaa008</w:t>
      </w:r>
    </w:p>
    <w:p w14:paraId="7C4A17D5" w14:textId="77777777" w:rsidR="00787B48" w:rsidRDefault="00000000">
      <w:r>
        <w:t xml:space="preserve">Cont, R., 2001. Empirical properties of asset returns: stylized facts and statistical issues. </w:t>
      </w:r>
      <w:r>
        <w:rPr>
          <w:i/>
        </w:rPr>
        <w:t>Quantitative Finance</w:t>
      </w:r>
      <w:r>
        <w:t>, 1(2), pp.223–236. https://doi.org/10.1080/713665670</w:t>
      </w:r>
    </w:p>
    <w:p w14:paraId="41812F6E" w14:textId="77777777" w:rsidR="00787B48" w:rsidRDefault="00000000">
      <w:r>
        <w:t xml:space="preserve">Corsi, F., 2009. A simple approximate long-memory model of realized volatility. </w:t>
      </w:r>
      <w:r>
        <w:rPr>
          <w:i/>
        </w:rPr>
        <w:t>Journal of Financial Econometrics</w:t>
      </w:r>
      <w:r>
        <w:t>, 7(2), pp.174–196. https://doi.org/10.1093/jjfinec/nbp001</w:t>
      </w:r>
    </w:p>
    <w:p w14:paraId="14055BEA" w14:textId="77777777" w:rsidR="00787B48" w:rsidRDefault="00000000">
      <w:r>
        <w:t xml:space="preserve">Diebold, F.X. and Mariano, R.S., 1995. Comparing predictive accuracy. </w:t>
      </w:r>
      <w:r>
        <w:rPr>
          <w:i/>
        </w:rPr>
        <w:t>Journal of Business &amp; Economic Statistics</w:t>
      </w:r>
      <w:r>
        <w:t>, 13(3), pp.253–263. https://doi.org/10.1080/07350015.1995.10524599</w:t>
      </w:r>
    </w:p>
    <w:p w14:paraId="2CA3E864" w14:textId="77777777" w:rsidR="00787B48" w:rsidRDefault="00000000">
      <w:r>
        <w:t xml:space="preserve">Engle, R.F., 1982. Autoregressive conditional heteroscedasticity with estimates of the variance of United Kingdom inflation. </w:t>
      </w:r>
      <w:r>
        <w:rPr>
          <w:i/>
        </w:rPr>
        <w:t>Econometrica</w:t>
      </w:r>
      <w:r>
        <w:t>, 50(4), pp.987–1007. https://doi.org/10.2307/1912773</w:t>
      </w:r>
    </w:p>
    <w:p w14:paraId="271709A3" w14:textId="77777777" w:rsidR="00787B48" w:rsidRDefault="00000000">
      <w:r>
        <w:t xml:space="preserve">Engle, R.F. and Manganelli, S., 2004. CAViaR: conditional autoregressive value at risk by regression quantiles. </w:t>
      </w:r>
      <w:r>
        <w:rPr>
          <w:i/>
        </w:rPr>
        <w:t>Journal of Business &amp; Economic Statistics</w:t>
      </w:r>
      <w:r>
        <w:t>, 22(4), pp.367–381. https://doi.org/10.1198/073500104000000370</w:t>
      </w:r>
    </w:p>
    <w:p w14:paraId="39D98CBB" w14:textId="77777777" w:rsidR="00787B48" w:rsidRDefault="00000000">
      <w:r>
        <w:t xml:space="preserve">Gal, Y. and Ghahramani, Z., 2016. Dropout as a Bayesian approximation: representing model uncertainty in deep learning. In: </w:t>
      </w:r>
      <w:r>
        <w:rPr>
          <w:i/>
        </w:rPr>
        <w:t>Proceedings of the 33rd International Conference on Machine Learning (ICML)</w:t>
      </w:r>
      <w:r>
        <w:t>, New York, USA, 19–24 June 2016. PMLR 48, pp.1050–1059.</w:t>
      </w:r>
    </w:p>
    <w:p w14:paraId="69F8A597" w14:textId="77777777" w:rsidR="00787B48" w:rsidRDefault="00000000">
      <w:r>
        <w:t xml:space="preserve">Giacomini, R. and White, H., 2006. Tests of conditional predictive ability. </w:t>
      </w:r>
      <w:r>
        <w:rPr>
          <w:i/>
        </w:rPr>
        <w:t>Econometrica</w:t>
      </w:r>
      <w:r>
        <w:t>, 74(6), pp.1545–1578. https://doi.org/10.1111/j.1468-0262.2006.00718.x</w:t>
      </w:r>
    </w:p>
    <w:p w14:paraId="02F592E3" w14:textId="77777777" w:rsidR="00787B48" w:rsidRDefault="00000000">
      <w:r>
        <w:t xml:space="preserve">Glosten, L.R., Jagannathan, R. and Runkle, D.E., 1993. On the relation between the expected value and the volatility of the nominal excess return on stocks. </w:t>
      </w:r>
      <w:r>
        <w:rPr>
          <w:i/>
        </w:rPr>
        <w:t>The Journal of Finance</w:t>
      </w:r>
      <w:r>
        <w:t>, 48(5), pp.1779–1801. https://doi.org/10.1111/j.1540-6261.1993.tb05128.x</w:t>
      </w:r>
    </w:p>
    <w:p w14:paraId="2210B9B3" w14:textId="77777777" w:rsidR="00787B48" w:rsidRDefault="00000000">
      <w:r>
        <w:t xml:space="preserve">Gneiting, T. and Raftery, A.E., 2007. Strictly proper scoring rules, prediction, and estimation. </w:t>
      </w:r>
      <w:r>
        <w:rPr>
          <w:i/>
        </w:rPr>
        <w:t>Journal of the American Statistical Association</w:t>
      </w:r>
      <w:r>
        <w:t>, 102(477), pp.359–378. https://doi.org/10.1198/016214506000001437</w:t>
      </w:r>
    </w:p>
    <w:p w14:paraId="76B0DA73" w14:textId="77777777" w:rsidR="00787B48" w:rsidRDefault="00000000">
      <w:r>
        <w:t xml:space="preserve">Hamilton, J.D., 1989. A new approach to the economic analysis of nonstationary time series and the business cycle. </w:t>
      </w:r>
      <w:r>
        <w:rPr>
          <w:i/>
        </w:rPr>
        <w:t>Econometrica</w:t>
      </w:r>
      <w:r>
        <w:t>, 57(2), pp.357–384. https://doi.org/10.2307/1912559</w:t>
      </w:r>
    </w:p>
    <w:p w14:paraId="79B95720" w14:textId="77777777" w:rsidR="00787B48" w:rsidRDefault="00000000">
      <w:r>
        <w:t xml:space="preserve">Hansen, P.R. and Lunde, A., 2005. A forecast comparison of volatility models: does anything beat a GARCH(1,1)? </w:t>
      </w:r>
      <w:r>
        <w:rPr>
          <w:i/>
        </w:rPr>
        <w:t>Journal of Applied Econometrics</w:t>
      </w:r>
      <w:r>
        <w:t>, 20(7), pp.873–889. https://doi.org/10.1002/jae.800</w:t>
      </w:r>
    </w:p>
    <w:p w14:paraId="56504F73" w14:textId="77777777" w:rsidR="00787B48" w:rsidRDefault="00000000">
      <w:r>
        <w:t xml:space="preserve">Hochreiter, S. and Schmidhuber, J., 1997. Long short-term memory. </w:t>
      </w:r>
      <w:r>
        <w:rPr>
          <w:i/>
        </w:rPr>
        <w:t>Neural Computation</w:t>
      </w:r>
      <w:r>
        <w:t>, 9(8), pp.1735–1780. https://doi.org/10.1162/neco.1997.9.8.1735</w:t>
      </w:r>
    </w:p>
    <w:p w14:paraId="6204CD1C" w14:textId="77777777" w:rsidR="00787B48" w:rsidRDefault="00000000">
      <w:r>
        <w:t xml:space="preserve">Kim, H.Y. and Won, C.H., 2018. Forecasting the volatility of stock price index: a hybrid model integrating LSTM with multiple GARCH-type models. </w:t>
      </w:r>
      <w:r>
        <w:rPr>
          <w:i/>
        </w:rPr>
        <w:t>Expert Systems with Applications</w:t>
      </w:r>
      <w:r>
        <w:t>, 103, pp.25–37. https://doi.org/10.1016/j.eswa.2018.03.002</w:t>
      </w:r>
    </w:p>
    <w:p w14:paraId="6D3D9F4F" w14:textId="77777777" w:rsidR="00787B48" w:rsidRDefault="00000000">
      <w:r>
        <w:t xml:space="preserve">Lim, B. and Zohren, S., 2021. Time-series forecasting with deep learning: a survey. </w:t>
      </w:r>
      <w:r>
        <w:rPr>
          <w:i/>
        </w:rPr>
        <w:t>Philosophical Transactions of the Royal Society A</w:t>
      </w:r>
      <w:r>
        <w:t>, 379(2194), 20200209. https://doi.org/10.1098/rsta.2020.0209</w:t>
      </w:r>
    </w:p>
    <w:p w14:paraId="7015885E" w14:textId="77777777" w:rsidR="00787B48" w:rsidRDefault="00000000">
      <w:r>
        <w:t xml:space="preserve">Nelson, D.B., 1991. Conditional heteroskedasticity in asset returns: a new approach. </w:t>
      </w:r>
      <w:r>
        <w:rPr>
          <w:i/>
        </w:rPr>
        <w:t>Econometrica</w:t>
      </w:r>
      <w:r>
        <w:t>, 59(2), pp.347–370. https://doi.org/10.2307/2938260</w:t>
      </w:r>
    </w:p>
    <w:p w14:paraId="051D62EE" w14:textId="77777777" w:rsidR="00787B48" w:rsidRDefault="00000000">
      <w:r>
        <w:t xml:space="preserve">Nystrup, P., Lindstrom, E. and Madsen, H., 2020. Learning hidden Markov models with persistent states by penalizing jumps. </w:t>
      </w:r>
      <w:r>
        <w:rPr>
          <w:i/>
        </w:rPr>
        <w:t>Expert Systems with Applications</w:t>
      </w:r>
      <w:r>
        <w:t>, 150, 113307. https://doi.org/10.1016/j.eswa.2020.113307</w:t>
      </w:r>
    </w:p>
    <w:p w14:paraId="536903C6" w14:textId="77777777" w:rsidR="00787B48" w:rsidRDefault="00000000">
      <w:r>
        <w:t xml:space="preserve">Patton, A.J., 2011. Volatility forecast comparison using imperfect volatility proxies. </w:t>
      </w:r>
      <w:r>
        <w:rPr>
          <w:i/>
        </w:rPr>
        <w:t>Journal of Econometrics</w:t>
      </w:r>
      <w:r>
        <w:t xml:space="preserve">, 160(1), pp.246–256. https://doi.org/10.1016/j.jeconom.2010.03.034 </w:t>
      </w:r>
    </w:p>
    <w:sectPr w:rsidR="00787B4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51D3" w14:textId="77777777" w:rsidR="00501376" w:rsidRDefault="00501376">
      <w:r>
        <w:separator/>
      </w:r>
    </w:p>
  </w:endnote>
  <w:endnote w:type="continuationSeparator" w:id="0">
    <w:p w14:paraId="25504B4E" w14:textId="77777777" w:rsidR="00501376" w:rsidRDefault="00501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966A" w14:textId="77777777" w:rsidR="0000000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2367" w14:textId="77777777" w:rsidR="00501376" w:rsidRDefault="00501376">
      <w:r>
        <w:separator/>
      </w:r>
    </w:p>
  </w:footnote>
  <w:footnote w:type="continuationSeparator" w:id="0">
    <w:p w14:paraId="602C8E38" w14:textId="77777777" w:rsidR="00501376" w:rsidRDefault="00501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146"/>
    <w:multiLevelType w:val="hybridMultilevel"/>
    <w:tmpl w:val="28887528"/>
    <w:lvl w:ilvl="0" w:tplc="E4DA126C">
      <w:start w:val="1"/>
      <w:numFmt w:val="bullet"/>
      <w:lvlText w:val="●"/>
      <w:lvlJc w:val="left"/>
      <w:pPr>
        <w:ind w:left="720" w:hanging="360"/>
      </w:pPr>
    </w:lvl>
    <w:lvl w:ilvl="1" w:tplc="3A4E2396">
      <w:start w:val="1"/>
      <w:numFmt w:val="bullet"/>
      <w:lvlText w:val="○"/>
      <w:lvlJc w:val="left"/>
      <w:pPr>
        <w:ind w:left="1440" w:hanging="360"/>
      </w:pPr>
    </w:lvl>
    <w:lvl w:ilvl="2" w:tplc="B3A078D8">
      <w:start w:val="1"/>
      <w:numFmt w:val="bullet"/>
      <w:lvlText w:val="■"/>
      <w:lvlJc w:val="left"/>
      <w:pPr>
        <w:ind w:left="2160" w:hanging="360"/>
      </w:pPr>
    </w:lvl>
    <w:lvl w:ilvl="3" w:tplc="52F4B64E">
      <w:start w:val="1"/>
      <w:numFmt w:val="bullet"/>
      <w:lvlText w:val="●"/>
      <w:lvlJc w:val="left"/>
      <w:pPr>
        <w:ind w:left="2880" w:hanging="360"/>
      </w:pPr>
    </w:lvl>
    <w:lvl w:ilvl="4" w:tplc="73E4596C">
      <w:start w:val="1"/>
      <w:numFmt w:val="bullet"/>
      <w:lvlText w:val="○"/>
      <w:lvlJc w:val="left"/>
      <w:pPr>
        <w:ind w:left="3600" w:hanging="360"/>
      </w:pPr>
    </w:lvl>
    <w:lvl w:ilvl="5" w:tplc="F00ED37E">
      <w:start w:val="1"/>
      <w:numFmt w:val="bullet"/>
      <w:lvlText w:val="■"/>
      <w:lvlJc w:val="left"/>
      <w:pPr>
        <w:ind w:left="4320" w:hanging="360"/>
      </w:pPr>
    </w:lvl>
    <w:lvl w:ilvl="6" w:tplc="46DA9940">
      <w:start w:val="1"/>
      <w:numFmt w:val="bullet"/>
      <w:lvlText w:val="●"/>
      <w:lvlJc w:val="left"/>
      <w:pPr>
        <w:ind w:left="5040" w:hanging="360"/>
      </w:pPr>
    </w:lvl>
    <w:lvl w:ilvl="7" w:tplc="D57A22A6">
      <w:start w:val="1"/>
      <w:numFmt w:val="bullet"/>
      <w:lvlText w:val="●"/>
      <w:lvlJc w:val="left"/>
      <w:pPr>
        <w:ind w:left="5760" w:hanging="360"/>
      </w:pPr>
    </w:lvl>
    <w:lvl w:ilvl="8" w:tplc="C3868F5A">
      <w:start w:val="1"/>
      <w:numFmt w:val="bullet"/>
      <w:lvlText w:val="●"/>
      <w:lvlJc w:val="left"/>
      <w:pPr>
        <w:ind w:left="6480" w:hanging="360"/>
      </w:pPr>
    </w:lvl>
  </w:abstractNum>
  <w:abstractNum w:abstractNumId="1" w15:restartNumberingAfterBreak="0">
    <w:nsid w:val="2C1AE401"/>
    <w:multiLevelType w:val="multilevel"/>
    <w:tmpl w:val="CD76A6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2751930">
    <w:abstractNumId w:val="0"/>
    <w:lvlOverride w:ilvl="0">
      <w:startOverride w:val="1"/>
    </w:lvlOverride>
  </w:num>
  <w:num w:numId="2" w16cid:durableId="1645769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01376"/>
    <w:rsid w:val="00590D07"/>
    <w:rsid w:val="00784D58"/>
    <w:rsid w:val="00787B48"/>
    <w:rsid w:val="008D6863"/>
    <w:rsid w:val="00942266"/>
    <w:rsid w:val="00B73C32"/>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33EA"/>
  <w15:docId w15:val="{C8566AA2-DFFB-45F4-BA4A-4E4BC4DE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6FE0"/>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4651</Words>
  <Characters>26516</Characters>
  <Application>Microsoft Office Word</Application>
  <DocSecurity>0</DocSecurity>
  <Lines>220</Lines>
  <Paragraphs>62</Paragraphs>
  <ScaleCrop>false</ScaleCrop>
  <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 SHAMALI, UBAY (PGT)</cp:lastModifiedBy>
  <cp:revision>2</cp:revision>
  <dcterms:created xsi:type="dcterms:W3CDTF">2026-05-13T19:14:00Z</dcterms:created>
  <dcterms:modified xsi:type="dcterms:W3CDTF">2026-05-14T23:04:00Z</dcterms:modified>
</cp:coreProperties>
</file>