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hapter-2-literature-review"/>
      <w:r>
        <w:t xml:space="preserve">Chapter 2: Literature Review</w:t>
      </w:r>
      <w:bookmarkEnd w:id="20"/>
    </w:p>
    <w:p>
      <w:pPr>
        <w:pStyle w:val="Heading2"/>
      </w:pPr>
      <w:bookmarkStart w:id="21" w:name="overview"/>
      <w:r>
        <w:t xml:space="preserve">2.1 Overview</w:t>
      </w:r>
      <w:bookmarkEnd w:id="21"/>
    </w:p>
    <w:p>
      <w:pPr>
        <w:pStyle w:val="FirstParagraph"/>
      </w:pPr>
      <w:r>
        <w:t xml:space="preserve">The volatility-forecasting literature has accumulated for four decades along four substantially independent tracks: a parametric econometric tradition that begins with the ARCH model of Engle (1982) and matures into the GARCH family of conditional-variance specifications; a regime-switching tradition that models markets as transitioning between qualitatively distinct latent states; a recurrent and attention-based deep-learning tradition built on the Long Short-Term Memory cell; and a probabilistic-machine-learning tradition that addresses the uncertainty of neural predictions through stochastic forward passes and direct quantile estimation. Each of these traditions has matured in relative isolation, and a comprehensive survey of all four would do this dissertation little service. The chapter that follows therefore adopts a deliberate selection criterion: each paper reviewed is included because it directly supports a specific design decision in the methodology of Chapter 3, either by establishing an empirical phenomenon that the model must reproduce, by defining a benchmark against which the proposed pipeline is measured, or by supplying the technical apparatus on which the implementation rests. Where two papers address the same question with complementary evidence they are discussed together; otherwise each paper receives its own paragraph, so that its specific contribution and its limitations can be evaluated in isolation. The chapter is organised by workstream: Section 2.2 reviews the empirical foundations of conditional volatility; Section 2.3 treats realised volatility and the loss functions appropriate to its evaluation; Section 2.4 surveys regime-switching dynamics; Section 2.5 considers deep learning for financial time series; Section 2.6 examines uncertainty quantification for deep models; Section 2.7 covers forecast comparison methodology; and Section 2.8 synthesises the gap that the dissertation addresses.</w:t>
      </w:r>
    </w:p>
    <w:p>
      <w:pPr>
        <w:pStyle w:val="Heading2"/>
      </w:pPr>
      <w:bookmarkStart w:id="22" w:name="Xdb0b12761a3df46991c3459d4f44373dbcd670f"/>
      <w:r>
        <w:t xml:space="preserve">2.2 Empirical Foundations of Conditional Volatility</w:t>
      </w:r>
      <w:bookmarkEnd w:id="22"/>
    </w:p>
    <w:p>
      <w:pPr>
        <w:pStyle w:val="FirstParagraph"/>
      </w:pPr>
      <w:r>
        <w:t xml:space="preserve">Any credible model of asset-return volatility must reproduce a small set of stylised empirical facts now widely accepted across asset classes: returns are approximately uncorrelated, yet their absolute and squared values display strong serial dependence; the unconditional distribution is leptokurtic and heavy-tailed; volatility clusters in time, with large moves succeeded by further large moves of either sign; and negative shocks raise future variance more than positive shocks of equal magnitude (Cont, 2001). These properties are not statistical curiosities to be acknowledged in passing but structural features that constrain modelling choices, since any specification that fails to capture them will misprice tail risk and underreact to crises. They serve two purposes simultaneously for the present dissertation: they define the empirical contract against which both the GARCH baselines that follow and the deep models of Section 2.5 must be judged, and they implicitly justify the move toward regime-aware estimation, since the magnitude and persistence of these features differ qualitatively across market environments and cannot be captured by a single parametric specification calibrated to the full sample.</w:t>
      </w:r>
    </w:p>
    <w:p>
      <w:pPr>
        <w:pStyle w:val="BodyText"/>
      </w:pPr>
      <w:r>
        <w:t xml:space="preserve">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 a short-run shock-response component and a longer-run persistence component — alongside a closed-form unconditional variance. Its limitations are well documented: Gaussian innovations understate tail risk, the symmetric variance equation cannot accommodate the leverage effect, and a single parameter vector is implicitly assumed stable across regimes. The model is adopted as the dissertation’s primary econometric baseline not because it is the most sophisticated specification available but because it is the standard against which any alternative — including the deep-learning models that follow — must demonstrate its value.</w:t>
      </w:r>
    </w:p>
    <w:p>
      <w:pPr>
        <w:pStyle w:val="BodyText"/>
      </w:pPr>
      <w:r>
        <w:t xml:space="preserve">The first widely adopted parametric response to one of the most empirically robust deficiencies of symmetric GARCH — the leverage effect, by which negative shocks raise future variance more than positive shocks of equal magnitude — is the Exponential GARCH (EGARCH) of Nelson (1991). Modelling the logarithm of conditional variance rather than its level guarantees positivity of the variance process without imposing parameter restrictions, removing a recurrent source of numerical instability in extended GARCH-family models. Allowing innovations to enter through both their sign and their magnitude captures asymmetric responses directly rather than through a piecewise indicator. EGARCH has since become the standard asymmetric baseline in applied work, and it is included in this dissertation precisely because it isolates one specific dimension along which GARCH(1,1) is known to be deficient: comparing the proposed regime-aware deep model against both GARCH(1,1) and EGARCH allows the dissertation to test whether any observed improvement reflects genuine non-linear learning of regime-conditional dynamics, or merely the absorption of asymmetric responses that EGARCH already captures within a single parametric specification.</w:t>
      </w:r>
    </w:p>
    <w:p>
      <w:pPr>
        <w:pStyle w:val="BodyText"/>
      </w:pPr>
      <w:r>
        <w:t xml:space="preserve">The bar that any new volatility forecast must clear is high, and the most cited evidence on the matter remains Hansen and Lunde’s (2005) comparison of 330 GARCH-family specifications on exchange-rate and equity data. For exchange-rate volatility their conclusion was uncompromising: under proxy-robust loss functions, none of the elaborate specifications they evaluated produced a statistically significant improvement over the basic GARCH(1,1). The equity result was more nuanced, with asymmetric specifications such as EGARCH and GJR-GARCH (Glosten, Jagannathan and Runkle, 1993) sometimes preferred and the dominance of GARCH(1,1) less clear-cut. The implications for any new modelling proposal are direct: an alternative model must not merely fit better in-sample but deliver consistent out-of-sample gains that survive statistical scrutiny under loss functions chosen for their robustness to proxy noise. This paper accordingly shapes the evaluation protocol of Chapter 4 in three concrete ways: it motivates the rigorous use of pairwise significance testing (Section 2.7); it tempers the expected magnitude of any improvement, since experience suggests that deep models will not dominate GARCH(1,1) by large margins on routine forecasting tasks; and it provides empirical justification for including EGARCH as a second econometric baseline rather than treating GARCH(1,1) as the sole point of comparison.</w:t>
      </w:r>
    </w:p>
    <w:p>
      <w:pPr>
        <w:pStyle w:val="Heading2"/>
      </w:pPr>
      <w:bookmarkStart w:id="23" w:name="X6a674fe5361fec0b03881d7accfdc05a4ff0d1d"/>
      <w:r>
        <w:t xml:space="preserve">2.3 Realised Volatility and Proxy-Robust Evaluation</w:t>
      </w:r>
      <w:bookmarkEnd w:id="23"/>
    </w:p>
    <w:p>
      <w:pPr>
        <w:pStyle w:val="FirstParagraph"/>
      </w:pPr>
      <w:r>
        <w:t xml:space="preserve">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 the realised variance — converges, under standard regularity conditions, to the integrated variance of the underlying diffusion process, and therefore furnishes a nearly model-free estimator of the latent target. The methodological consequences are substantial. With realised volatility as the dependent variable, model evaluation no longer requires squared daily returns as a noisy proxy, and the target itself becomes a smoother, less leptokurtic series that is easier to forecast. The reformulation is also what makes deep-learning forecasters genuinely competitive, since regression on an observable target is the setting in which neural architectures have most consistently outperformed parametric alternatives. The present dissertation accordingly adopts daily realised volatility, constructed from intraday returns in the Andersen et al. sense, as the dependent variable throughout.</w:t>
      </w:r>
    </w:p>
    <w:p>
      <w:pPr>
        <w:pStyle w:val="BodyText"/>
      </w:pPr>
      <w:r>
        <w:t xml:space="preserve">Once realised volatility becomes the target, the choice of loss function for forecast evaluation ceases to be a matter of convention and acquires direct inferential consequence. Patton (2011) establishes that, when the conditional variance is unobserved and must be replaced by a noisy proxy, only a restricted family of loss functions yields forecast rankings that are robust to proxy noise: mean squared error remains valid, the so-called QLIKE loss enjoys particularly attractive properties, but losses outside this family can reverse the ordering of two models depending on how the proxy is constructed — an effect large enough to overturn the conclusions of published studies. The QLIKE loss is especially well suited to volatility applications because it penalises under-prediction of variance more heavily than over-prediction, aligning the statistical objective with the asymmetric economic consequences of underestimating market risk: a model that under-predicts variance during a regime transition is far more dangerous to a risk manager than one that over-predicts by the same amount. On the strength of Patton’s analysis the dissertation adopts QLIKE as its primary out-of-sample metric, with mean squared error reported as a robustness check for every model evaluated in Chapter 4.</w:t>
      </w:r>
    </w:p>
    <w:p>
      <w:pPr>
        <w:pStyle w:val="BodyText"/>
      </w:pPr>
      <w:r>
        <w:t xml:space="preserve">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 HAR-RV has since become the de facto benchmark in the modern realised-volatility literature, and is included in this dissertation as a third econometric baseline alongside GARCH(1,1) and EGARCH. Its inclusion is methodologically essential: a deep-learning forecaster that fails to improve on HAR-RV on its native target is not a credible alternative for daily realised-volatility prediction, regardless of how favourably it compares against return-based GARCH specifications.</w:t>
      </w:r>
    </w:p>
    <w:p>
      <w:pPr>
        <w:pStyle w:val="Heading2"/>
      </w:pPr>
      <w:bookmarkStart w:id="24" w:name="regime-switching-dynamics"/>
      <w:r>
        <w:t xml:space="preserve">2.4 Regime-Switching Dynamics</w:t>
      </w:r>
      <w:bookmarkEnd w:id="24"/>
    </w:p>
    <w:p>
      <w:pPr>
        <w:pStyle w:val="FirstParagraph"/>
      </w:pPr>
      <w:r>
        <w:t xml:space="preserve">The empirical proposition that financial markets transition between qualitatively distinct dynamic regimes is older than the deep-learning literature by half a century, and its formal econometric foundation is the Markov-switching model of Hamilton (1989). Treating the data-generating process for a non-stationary series as a mixture of stationary processes governed by an unobservable discrete state that evolves as a first-order Markov chain, the model captures abrupt regime changes — recessions, monetary-policy shifts, financial crises — that single-regime specifications cannot accommodate, and admits efficient maximum-likelihood estimation through the filter that bears his name. The smoothed state probabilities furnish interpretable retrospective inference about which regime was active at each historical date, a property that makes the framework attractive for both forecasting and ex-post narrative. The specific implementation in Chapter 3 uses a Gaussian-emission Hidden Markov Model rather than a Markov-switching autoregression, but the inferential machinery is the same, and the motivation is unchanged: a model that conditions on the inferred regime is reasoning about which dynamic process is generating the current observation, rather than averaging over an implicit mixture. The empirical question that the dissertation addresses is whether this conditioning translates into measurable forecast improvements when the downstream model is a neural network rather than a parametric one.</w:t>
      </w:r>
    </w:p>
    <w:p>
      <w:pPr>
        <w:pStyle w:val="BodyText"/>
      </w:pPr>
      <w:r>
        <w:t xml:space="preserve">Regime identification is itself an inferential problem with non-trivial robustness implications, and Nystrup, Lindstrom and Madsen (2020) sharpen the practical case for Hidden Markov regime detection in finance by isolating one of its most persistent pathologies. Standard estimation tends to switch states more rapidly than the data warrant, producing implausibly frequent transitions that contaminate any downstream forecast that conditions on them; their proposed remedy penalises jumps explicitly during estimation, yielding more persistent state sequences and better out-of-sample regime classification on equity-return data. The broader lesson is that a model conditioned on a misclassified regime inherits the misclassification error rather than correcting for it, and that the apparent gain from regime conditioning can mask noise in the regime estimate itself. The present dissertation takes that lesson directly into its methodology: the number of HMM states is tuned conservatively, state persistence is inspected as a diagnostic during model selection, and forecast errors are reported regime-by-regime so that the contribution of regime conditioning is auditable rather than assumed.</w:t>
      </w:r>
    </w:p>
    <w:p>
      <w:pPr>
        <w:pStyle w:val="Heading2"/>
      </w:pPr>
      <w:bookmarkStart w:id="25" w:name="deep-learning-for-financial-time-series"/>
      <w:r>
        <w:t xml:space="preserve">2.5 Deep Learning for Financial Time Series</w:t>
      </w:r>
      <w:bookmarkEnd w:id="25"/>
    </w:p>
    <w:p>
      <w:pPr>
        <w:pStyle w:val="FirstParagraph"/>
      </w:pPr>
      <w:r>
        <w:t xml:space="preserve">The architectural backbone of the present dissertation’s deep models is the Long Short-Term Memory cell of Hochreiter and Schmidhuber (1997), which remains the workhorse of sequence modelling on tasks with moderate context lengths and limited data —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and made it possible to learn temporal patterns spanning hundreds of time steps without specialised initialisation. The LSTM’s inductive bias — that the present is best predicted from a learned, selectively retained summary of the recent past — aligns naturally with the persistence structure of volatility documented by Cont (2001), in which information about recent extreme returns must be retained long enough to influence current variance estimates without overwhelming the contribution of more distant context. The LSTM is adopted as the deep architecture of choice because it is parsimonious relative to transformer alternatives and therefore better matched to the modest sample sizes available in daily financial data, because it trains stably on samples of the order of ten thousand observations under standard optimisation procedures, and because its dependence on past observations can be inspected through gate-activation patterns and gradient-based sensitivities.</w:t>
      </w:r>
    </w:p>
    <w:p>
      <w:pPr>
        <w:pStyle w:val="BodyText"/>
      </w:pPr>
      <w:r>
        <w:t xml:space="preserve">The broader landscape of deep learning for time series, of which the LSTM is one increasingly traditional element,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 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The experimental design of Chapter 3 reflects both observations: it favours the LSTM over more parameter-heavy architectures, and it considers a regime-aware variant in which the network is conditioned on an external state estimate rather than expected to learn the regime structure unsupervised.</w:t>
      </w:r>
    </w:p>
    <w:p>
      <w:pPr>
        <w:pStyle w:val="BodyText"/>
      </w:pPr>
      <w:r>
        <w:t xml:space="preserve">The most direct empirical precedents for the present dissertation are two studies that compare recurrent neural networks against econometric baselines on equity-volatility forecasting, although neither is an exact analogue of the present setting. Kim and Won (2018) integrate an LSTM with several GARCH-type variants on daily data for the Korean KOSPI 200 index, reporting that the hybrid reduces forecast error relative to either pure component and arguing that the LSTM captures non-linear residual structure that the parametric models cannot. Bucci (2020) extends the comparison to monthly realised volatility on the S&amp;P 500, evaluating feed-forward networks, LSTMs and nonlinear autoregressive networks with exogenous inputs against ARFIMA and HAR baselines, and concludes that recurrent architectures deliver the most accurate forecasts among the deep models considered. Taken together, the two studies establish that LSTM-based models can match or modestly exceed econometric baselines on equity volatility — but neither operates on daily realised volatility for a major US equity index, and they expose three further limitations that this dissertation is designed to address. Neither study conditions explicitly on market regime, so the network is asked to learn regime-dependent behaviour implicitly from raw inputs; neither produces calibrated uncertainty estimates around the point forecast, leaving downstream risk applications without the probabilistic information they require; and neither subjects the comparison to the kind of proxy-robust statistical test discussed in Section 2.7, so the reported improvements have not been validated under the inferential standards now considered best practice in volatility forecasting.</w:t>
      </w:r>
    </w:p>
    <w:p>
      <w:pPr>
        <w:pStyle w:val="Heading2"/>
      </w:pPr>
      <w:bookmarkStart w:id="26" w:name="X52a78444787454871f991dd5dc3eed38c292db5"/>
      <w:r>
        <w:t xml:space="preserve">2.6 Uncertainty Quantification in Deep Forecasting</w:t>
      </w:r>
      <w:bookmarkEnd w:id="26"/>
    </w:p>
    <w:p>
      <w:pPr>
        <w:pStyle w:val="FirstParagraph"/>
      </w:pPr>
      <w:r>
        <w:t xml:space="preserve">The dissertation’s first approach to uncertainty quantification draws on Gal and Ghahramani (2016), who show that a deep neural network trained with dropout regularisation can be reinterpreted as an approximate Bayesian inference procedure over a deep Gaussian-process prior, with stochastic forward passes at test time sampling from the resulting posterior predictive distribution. The operational appeal is that it requires no architectural changes, no additional training, and no held-out calibration sample — material advantages in data-limited financial settings. The principal limitation, well documented in subsequent work, is that the dropout rate functions as a hyperparameter materially affecting the magnitude of predictive variance, and that the resulting estimates can be over-confident under distribution shift — the regime that matters most for financial applications, since the test period typically contains conditions that differ from those seen during training. The dissertation accordingly treats Monte Carlo Dropout as one of two complementary uncertainty estimators rather than as the sole probabilistic route, and validates its calibration empirically against held-out coverage rather than asserting the theoretical Bayesian interpretation.</w:t>
      </w:r>
    </w:p>
    <w:p>
      <w:pPr>
        <w:pStyle w:val="BodyText"/>
      </w:pPr>
      <w:r>
        <w:t xml:space="preserve">A complementary route to probabilistic prediction bypasses Bayesian machinery entirely and trains the model to estimate conditional quantiles directly, an idea that originated in econometrics rather than in deep learning. Engle and Manganelli (2004) introduced the Conditional Autoregressive Value at Risk (CAViaR) framework, in which the conditional quantiles of the return distribution are modelled through an autoregressive recursion estimated by minimising the pinball loss — the same asymmetric, distribution-free loss function later adopted by neural quantile regression and refined for finite-sample coverage by conformal methods. Their paper also introduced the dynamic quantile test for evaluating the adequacy of value-at-risk forecasts, complementing the more general coverage tests subsequently developed for interval forecasts. The CAViaR framework supplies the methodological justification for the dissertation’s second uncertainty-quantification approach, in which the LSTM is trained to output a set of conditional quantiles directly via the pinball loss rather than samples from a posterior. The advantage is that no distributional assumption is imposed and the procedure remains valid for the heavy-tailed return distributions characteristic of equity markets; the disadvantage is that quantile crossing must be monitored and corrected post hoc, and that the resulting intervals lack the formal coverage guarantees available to fully Bayesian or conformal procedures, which means the dissertation must validate coverage empirically rather than relying on theoretical asymptotics.</w:t>
      </w:r>
    </w:p>
    <w:p>
      <w:pPr>
        <w:pStyle w:val="Heading2"/>
      </w:pPr>
      <w:bookmarkStart w:id="27" w:name="forecast-evaluation-and-comparison"/>
      <w:r>
        <w:t xml:space="preserve">2.7 Forecast Evaluation and Comparison</w:t>
      </w:r>
      <w:bookmarkEnd w:id="27"/>
    </w:p>
    <w:p>
      <w:pPr>
        <w:pStyle w:val="FirstParagraph"/>
      </w:pPr>
      <w:r>
        <w:t xml:space="preserve">The standard apparatus for testing whether one forecast is statistically more accurate than another is the pairwise test introduced by Diebold and Mariano (1995), which compares the loss differential between two competing forecasts and asks whether its mean is significantly 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The dissertation uses the Diebold–Mariano test as its primary pairwise significance test for forecast superiority, with the QLIKE loss adopted following Patton (2011). The test’s regularity conditions — in particular weak dependence in the loss differential — are inspected and reported as a robustness exercise, since highly persistent forecast errors can degrade the test’s power and inflate its size, and subsequent work (Giacomini and White, 2006) has refined the inferential framework for conditional predictive ability in settings where the underlying loss series inherit the long-memory characteristics of the volatility process.</w:t>
      </w:r>
    </w:p>
    <w:p>
      <w:pPr>
        <w:pStyle w:val="BodyText"/>
      </w:pPr>
      <w:r>
        <w:t xml:space="preserve">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 a loss function whose expected value is minimised at the true predictive distribution — and develop the continuous ranked probability score and the interval (Winkler) score as integrated criteria that reward both location and spread. 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pPr>
        <w:pStyle w:val="Heading2"/>
      </w:pPr>
      <w:bookmarkStart w:id="28" w:name="synthesis-and-identified-gap"/>
      <w:r>
        <w:t xml:space="preserve">2.8 Synthesis and Identified Gap</w:t>
      </w:r>
      <w:bookmarkEnd w:id="28"/>
    </w:p>
    <w:p>
      <w:pPr>
        <w:pStyle w:val="FirstParagraph"/>
      </w:pPr>
      <w:r>
        <w:t xml:space="preserve">The papers reviewed above describe a coherent intellectual landscape, but one whose component traditions have not yet been integrated into a single empirical pipeline for daily realised-volatility forecasting. The econometric tradition (Bollerslev, 1986; Nelson, 1991; Hansen and Lunde, 2005) has produced parsimonious, interpretable benchmarks against which any new proposal must be measured under proxy-robust losses (Patton, 2011) and significance tests (Diebold and Mariano, 1995; Giacomini and White, 2006). The realised-volatility literature (Andersen et al., 2003; Corsi, 2009) has reframed the forecasting target as approximately observable and supplied the heterogeneous autoregressive specification that is now the standard benchmark on that target, both of which invite and constrain the use of deep learning. The deep-learning literature has demonstrated that LSTM-based architectures (Hochreiter and Schmidhuber, 1997; Lim and Zohren, 2021) can match or modestly exceed econometric baselines on equity volatility (Kim and Won, 2018; Bucci, 2020), but the experimental designs vary widely and rarely condition explicitly on market regime, nor do they typically operate on daily realised volatility for a major US equity index. The regime-switching literature (Hamilton, 1989; Nystrup, Lindstrom and Madsen, 2020) supplies a mature inferential machinery for that task, but has been applied almost exclusively in combination with parametric volatility specifications rather than neural architectures. The uncertainty-quantification literature provides two complementary routes to probabilistic prediction — Monte Carlo Dropout (Gal and Ghahramani, 2016) and pinball-loss quantile regression rooted in CAViaR (Engle and Manganelli, 2004) — that have been benchmarked extensively on general tasks but rarely on financial volatility, and whose calibration should be assessed against proper scoring rules (Gneiting and Raftery, 2007). This dissertation contributes by combining these strands within a single comparative pipeline: GARCH, EGARCH and HAR-RV baselines; an LSTM baseline; a regime-aware LSTM conditioned on a Hidden Markov state; and uncertainty-aware variants using Monte Carlo Dropout and pinball-loss quantile regression, all evaluated on QLIKE and MSE with Diebold–Mariano significance tests and proper-score diagnostics. The aim is not to introduce a novel architecture but to subject the integrated regime-aware, uncertainty-aware pipeline to a rigorous empirical examination of the kind that the existing literature, taken in isolation, does not yet provide, and thereby to clarify which of the three components — regime conditioning, uncertainty quantification, or deep architectural depth — contributes most to forecast quality.</w:t>
      </w:r>
    </w:p>
    <w:p>
      <w:pPr>
        <w:pStyle w:val="Heading1"/>
      </w:pPr>
      <w:bookmarkStart w:id="29" w:name="references"/>
      <w:r>
        <w:t xml:space="preserve">References</w:t>
      </w:r>
      <w:bookmarkEnd w:id="29"/>
    </w:p>
    <w:p>
      <w:pPr>
        <w:pStyle w:val="FirstParagraph"/>
      </w:pPr>
      <w:r>
        <w:t xml:space="preserve">Andersen, T.G., Bollerslev, T., Diebold, F.X. and Labys, P., 2003. Modeling and forecasting realized volatility. </w:t>
      </w:r>
      <w:r>
        <w:rPr>
          <w:i/>
        </w:rPr>
        <w:t xml:space="preserve">Econometrica</w:t>
      </w:r>
      <w:r>
        <w:t xml:space="preserve">, 71(2), pp.579–625. https://doi.org/10.1111/1468-0262.00418</w:t>
      </w:r>
    </w:p>
    <w:p>
      <w:pPr>
        <w:pStyle w:val="BodyText"/>
      </w:pPr>
      <w:r>
        <w:t xml:space="preserve">Bollerslev, T., 1986. Generalized autoregressive conditional heteroskedasticity. </w:t>
      </w:r>
      <w:r>
        <w:rPr>
          <w:i/>
        </w:rPr>
        <w:t xml:space="preserve">Journal of Econometrics</w:t>
      </w:r>
      <w:r>
        <w:t xml:space="preserve">, 31(3), pp.307–327. https://doi.org/10.1016/0304-4076(86)90063-1</w:t>
      </w:r>
    </w:p>
    <w:p>
      <w:pPr>
        <w:pStyle w:val="BodyText"/>
      </w:pPr>
      <w:r>
        <w:t xml:space="preserve">Bucci, A., 2020. Realized volatility forecasting with neural networks. </w:t>
      </w:r>
      <w:r>
        <w:rPr>
          <w:i/>
        </w:rPr>
        <w:t xml:space="preserve">Journal of Financial Econometrics</w:t>
      </w:r>
      <w:r>
        <w:t xml:space="preserve">, 18(3), pp.502–531. https://doi.org/10.1093/jjfinec/nbaa008</w:t>
      </w:r>
    </w:p>
    <w:p>
      <w:pPr>
        <w:pStyle w:val="BodyText"/>
      </w:pPr>
      <w:r>
        <w:t xml:space="preserve">Cont, R., 2001. Empirical properties of asset returns: stylized facts and statistical issues. </w:t>
      </w:r>
      <w:r>
        <w:rPr>
          <w:i/>
        </w:rPr>
        <w:t xml:space="preserve">Quantitative Finance</w:t>
      </w:r>
      <w:r>
        <w:t xml:space="preserve">, 1(2), pp.223–236. https://doi.org/10.1080/713665670</w:t>
      </w:r>
    </w:p>
    <w:p>
      <w:pPr>
        <w:pStyle w:val="BodyText"/>
      </w:pPr>
      <w:r>
        <w:t xml:space="preserve">Corsi, F., 2009. A simple approximate long-memory model of realized volatility. </w:t>
      </w:r>
      <w:r>
        <w:rPr>
          <w:i/>
        </w:rPr>
        <w:t xml:space="preserve">Journal of Financial Econometrics</w:t>
      </w:r>
      <w:r>
        <w:t xml:space="preserve">, 7(2), pp.174–196. https://doi.org/10.1093/jjfinec/nbp001</w:t>
      </w:r>
    </w:p>
    <w:p>
      <w:pPr>
        <w:pStyle w:val="BodyText"/>
      </w:pPr>
      <w:r>
        <w:t xml:space="preserve">Diebold, F.X. and Mariano, R.S., 1995. Comparing predictive accuracy. </w:t>
      </w:r>
      <w:r>
        <w:rPr>
          <w:i/>
        </w:rPr>
        <w:t xml:space="preserve">Journal of Business &amp; Economic Statistics</w:t>
      </w:r>
      <w:r>
        <w:t xml:space="preserve">, 13(3), pp.253–263. https://doi.org/10.1080/07350015.1995.10524599</w:t>
      </w:r>
    </w:p>
    <w:p>
      <w:pPr>
        <w:pStyle w:val="BodyText"/>
      </w:pPr>
      <w:r>
        <w:t xml:space="preserve">Engle, R.F., 1982. Autoregressive conditional heteroscedasticity with estimates of the variance of United Kingdom inflation. </w:t>
      </w:r>
      <w:r>
        <w:rPr>
          <w:i/>
        </w:rPr>
        <w:t xml:space="preserve">Econometrica</w:t>
      </w:r>
      <w:r>
        <w:t xml:space="preserve">, 50(4), pp.987–1007. https://doi.org/10.2307/1912773</w:t>
      </w:r>
    </w:p>
    <w:p>
      <w:pPr>
        <w:pStyle w:val="BodyText"/>
      </w:pPr>
      <w:r>
        <w:t xml:space="preserve">Engle, R.F. and Manganelli, S., 2004. CAViaR: conditional autoregressive value at risk by regression quantiles. </w:t>
      </w:r>
      <w:r>
        <w:rPr>
          <w:i/>
        </w:rPr>
        <w:t xml:space="preserve">Journal of Business &amp; Economic Statistics</w:t>
      </w:r>
      <w:r>
        <w:t xml:space="preserve">, 22(4), pp.367–381. https://doi.org/10.1198/073500104000000370</w:t>
      </w:r>
    </w:p>
    <w:p>
      <w:pPr>
        <w:pStyle w:val="BodyText"/>
      </w:pPr>
      <w:r>
        <w:t xml:space="preserve">Gal, Y. and Ghahramani, Z., 2016. Dropout as a Bayesian approximation: representing model uncertainty in deep learning. In: </w:t>
      </w:r>
      <w:r>
        <w:rPr>
          <w:i/>
        </w:rPr>
        <w:t xml:space="preserve">Proceedings of the 33rd International Conference on Machine Learning (ICML)</w:t>
      </w:r>
      <w:r>
        <w:t xml:space="preserve">, New York, USA, 19–24 June 2016. PMLR 48, pp.1050–1059.</w:t>
      </w:r>
    </w:p>
    <w:p>
      <w:pPr>
        <w:pStyle w:val="BodyText"/>
      </w:pPr>
      <w:r>
        <w:t xml:space="preserve">Giacomini, R. and White, H., 2006. Tests of conditional predictive ability. </w:t>
      </w:r>
      <w:r>
        <w:rPr>
          <w:i/>
        </w:rPr>
        <w:t xml:space="preserve">Econometrica</w:t>
      </w:r>
      <w:r>
        <w:t xml:space="preserve">, 74(6), pp.1545–1578. https://doi.org/10.1111/j.1468-0262.2006.00718.x</w:t>
      </w:r>
    </w:p>
    <w:p>
      <w:pPr>
        <w:pStyle w:val="BodyText"/>
      </w:pPr>
      <w:r>
        <w:t xml:space="preserve">Glosten, L.R., Jagannathan, R. and Runkle, D.E., 1993. On the relation between the expected value and the volatility of the nominal excess return on stocks. </w:t>
      </w:r>
      <w:r>
        <w:rPr>
          <w:i/>
        </w:rPr>
        <w:t xml:space="preserve">The Journal of Finance</w:t>
      </w:r>
      <w:r>
        <w:t xml:space="preserve">, 48(5), pp.1779–1801. https://doi.org/10.1111/j.1540-6261.1993.tb05128.x</w:t>
      </w:r>
    </w:p>
    <w:p>
      <w:pPr>
        <w:pStyle w:val="BodyText"/>
      </w:pPr>
      <w:r>
        <w:t xml:space="preserve">Gneiting, T. and Raftery, A.E., 2007. Strictly proper scoring rules, prediction, and estimation. </w:t>
      </w:r>
      <w:r>
        <w:rPr>
          <w:i/>
        </w:rPr>
        <w:t xml:space="preserve">Journal of the American Statistical Association</w:t>
      </w:r>
      <w:r>
        <w:t xml:space="preserve">, 102(477), pp.359–378. https://doi.org/10.1198/016214506000001437</w:t>
      </w:r>
    </w:p>
    <w:p>
      <w:pPr>
        <w:pStyle w:val="BodyText"/>
      </w:pPr>
      <w:r>
        <w:t xml:space="preserve">Hamilton, J.D., 1989. A new approach to the economic analysis of nonstationary time series and the business cycle. </w:t>
      </w:r>
      <w:r>
        <w:rPr>
          <w:i/>
        </w:rPr>
        <w:t xml:space="preserve">Econometrica</w:t>
      </w:r>
      <w:r>
        <w:t xml:space="preserve">, 57(2), pp.357–384. https://doi.org/10.2307/1912559</w:t>
      </w:r>
    </w:p>
    <w:p>
      <w:pPr>
        <w:pStyle w:val="BodyText"/>
      </w:pPr>
      <w:r>
        <w:t xml:space="preserve">Hansen, P.R. and Lunde, A., 2005. A forecast comparison of volatility models: does anything beat a GARCH(1,1)? </w:t>
      </w:r>
      <w:r>
        <w:rPr>
          <w:i/>
        </w:rPr>
        <w:t xml:space="preserve">Journal of Applied Econometrics</w:t>
      </w:r>
      <w:r>
        <w:t xml:space="preserve">, 20(7), pp.873–889. https://doi.org/10.1002/jae.800</w:t>
      </w:r>
    </w:p>
    <w:p>
      <w:pPr>
        <w:pStyle w:val="BodyText"/>
      </w:pPr>
      <w:r>
        <w:t xml:space="preserve">Hochreiter, S. and Schmidhuber, J., 1997. Long short-term memory. </w:t>
      </w:r>
      <w:r>
        <w:rPr>
          <w:i/>
        </w:rPr>
        <w:t xml:space="preserve">Neural Computation</w:t>
      </w:r>
      <w:r>
        <w:t xml:space="preserve">, 9(8), pp.1735–1780. https://doi.org/10.1162/neco.1997.9.8.1735</w:t>
      </w:r>
    </w:p>
    <w:p>
      <w:pPr>
        <w:pStyle w:val="BodyText"/>
      </w:pPr>
      <w:r>
        <w:t xml:space="preserve">Kim, H.Y. and Won, C.H., 2018. Forecasting the volatility of stock price index: a hybrid model integrating LSTM with multiple GARCH-type models. </w:t>
      </w:r>
      <w:r>
        <w:rPr>
          <w:i/>
        </w:rPr>
        <w:t xml:space="preserve">Expert Systems with Applications</w:t>
      </w:r>
      <w:r>
        <w:t xml:space="preserve">, 103, pp.25–37. https://doi.org/10.1016/j.eswa.2018.03.002</w:t>
      </w:r>
    </w:p>
    <w:p>
      <w:pPr>
        <w:pStyle w:val="BodyText"/>
      </w:pPr>
      <w:r>
        <w:t xml:space="preserve">Lim, B. and Zohren, S., 2021. Time-series forecasting with deep learning: a survey. </w:t>
      </w:r>
      <w:r>
        <w:rPr>
          <w:i/>
        </w:rPr>
        <w:t xml:space="preserve">Philosophical Transactions of the Royal Society A</w:t>
      </w:r>
      <w:r>
        <w:t xml:space="preserve">, 379(2194), 20200209. https://doi.org/10.1098/rsta.2020.0209</w:t>
      </w:r>
    </w:p>
    <w:p>
      <w:pPr>
        <w:pStyle w:val="BodyText"/>
      </w:pPr>
      <w:r>
        <w:t xml:space="preserve">Nelson, D.B., 1991. Conditional heteroskedasticity in asset returns: a new approach. </w:t>
      </w:r>
      <w:r>
        <w:rPr>
          <w:i/>
        </w:rPr>
        <w:t xml:space="preserve">Econometrica</w:t>
      </w:r>
      <w:r>
        <w:t xml:space="preserve">, 59(2), pp.347–370. https://doi.org/10.2307/2938260</w:t>
      </w:r>
    </w:p>
    <w:p>
      <w:pPr>
        <w:pStyle w:val="BodyText"/>
      </w:pPr>
      <w:r>
        <w:t xml:space="preserve">Nystrup, P., Lindstrom, E. and Madsen, H., 2020. Learning hidden Markov models with persistent states by penalizing jumps. </w:t>
      </w:r>
      <w:r>
        <w:rPr>
          <w:i/>
        </w:rPr>
        <w:t xml:space="preserve">Expert Systems with Applications</w:t>
      </w:r>
      <w:r>
        <w:t xml:space="preserve">, 150, 113307. https://doi.org/10.1016/j.eswa.2020.113307</w:t>
      </w:r>
    </w:p>
    <w:p>
      <w:pPr>
        <w:pStyle w:val="BodyText"/>
      </w:pPr>
      <w:r>
        <w:t xml:space="preserve">Patton, A.J., 2011. Volatility forecast comparison using imperfect volatility proxies. </w:t>
      </w:r>
      <w:r>
        <w:rPr>
          <w:i/>
        </w:rPr>
        <w:t xml:space="preserve">Journal of Econometrics</w:t>
      </w:r>
      <w:r>
        <w:t xml:space="preserve">, 160(1), pp.246–256. https://doi.org/10.1016/j.jeconom.2010.03.034</w:t>
      </w:r>
    </w:p>
    <w:sectPr w:rsidR="00700481">
      <w:footerReference w:type="default" r:id="rId9"/>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09FA"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 Type="http://schemas.openxmlformats.org/officeDocument/2006/relationships/footer" Target="footer1.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4450</Words>
  <Characters>25371</Characters>
  <Application>Microsoft Office Word</Application>
  <DocSecurity>0</DocSecurity>
  <Lines>211</Lines>
  <Paragraphs>59</Paragraphs>
  <ScaleCrop>false</ScaleCrop>
  <Company/>
  <LinksUpToDate>false</LinksUpToDate>
  <CharactersWithSpaces>29762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2026-05-13T11:16:17Z</dcterms:created>
  <dcterms:modified xsi:type="dcterms:W3CDTF">2026-05-13T11:16:17Z</dcterms:modified>
</cp:coreProperties>
</file>

<file path=docProps/custom.xml><?xml version="1.0" encoding="utf-8"?>
<Properties xmlns="http://schemas.openxmlformats.org/officeDocument/2006/custom-properties" xmlns:vt="http://schemas.openxmlformats.org/officeDocument/2006/docPropsVTypes"/>
</file>