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4CD08" w14:textId="77777777" w:rsidR="00787B48" w:rsidRDefault="00000000">
      <w:pPr>
        <w:pStyle w:val="Heading1"/>
      </w:pPr>
      <w:bookmarkStart w:id="0" w:name="chapter-2-literature-review"/>
      <w:r>
        <w:t>Chapter 2: Literature Review</w:t>
      </w:r>
      <w:bookmarkEnd w:id="0"/>
    </w:p>
    <w:p w14:paraId="772A6EAA" w14:textId="77777777" w:rsidR="00787B48" w:rsidRDefault="00000000">
      <w:pPr>
        <w:pStyle w:val="Heading2"/>
      </w:pPr>
      <w:bookmarkStart w:id="1" w:name="overview"/>
      <w:r>
        <w:t>2.1 Overview</w:t>
      </w:r>
      <w:bookmarkEnd w:id="1"/>
    </w:p>
    <w:p w14:paraId="31E469E4" w14:textId="3BCBAFB9" w:rsidR="00787B48" w:rsidRDefault="00000000">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 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 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44A54005" w14:textId="01CA3659" w:rsidR="00787B48" w:rsidRDefault="00000000">
      <w:r>
        <w:t xml:space="preserve">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uncertainty quantification, Section 2.7 covers forecast-comparison methodology and Section 2.8 synthesises the gap the dissertation addresses.</w:t>
      </w:r>
    </w:p>
    <w:p w14:paraId="1295C880" w14:textId="77777777" w:rsidR="00787B48" w:rsidRDefault="00000000">
      <w:pPr>
        <w:pStyle w:val="Heading2"/>
      </w:pPr>
      <w:bookmarkStart w:id="2" w:name="Xdb0b12761a3df46991c3459d4f44373dbcd670f"/>
      <w:r>
        <w:t>2.2 Empirical Foundations of Conditional Volatility</w:t>
      </w:r>
      <w:bookmarkEnd w:id="2"/>
    </w:p>
    <w:p w14:paraId="17399152" w14:textId="2DADB2FE" w:rsidR="00787B48" w:rsidRDefault="00E5410D" w:rsidP="00E5410D">
      <w:r>
        <w:t xml:space="preserve">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 They serve two purposes for the present dissertation. First, they define the empirical contract against which the GARCH baselines and the deep models of Section 2.5 are judged, second they justify the move toward regime-aware estimation, since the magnitude and persistence of these features differ qualitatively across market </w:t>
        <w:lastRenderedPageBreak/>
        <w:t>environments and cannot be captured by a single parametric specification calibrated to the full sample.</w:t>
      </w:r>
    </w:p>
    <w:p w14:paraId="1688C0D2" w14:textId="4C93D26F" w:rsidR="00787B48" w:rsidRDefault="00000000" w:rsidP="004705F8">
      <w:r>
        <w:t xml:space="preserve">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 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1759FD73" w14:textId="5B164E74" w:rsidR="00787B48" w:rsidRDefault="00000000" w:rsidP="0059202A">
      <w:r>
        <w:t xml:space="preserve">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 The GJR-GARCH of Glosten, Jagannathan and Runkle (1993) reaches the same target by a different route, keeping the variance in levels and adding a single threshold term that activates only for negative shocks which is more parsimonious, but discontinuous. 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725CF15A" w14:textId="4612FF92" w:rsidR="00787B48" w:rsidRDefault="00000000">
      <w:r>
        <w:t xml:space="preserve">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 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rather than assume their adequacy. This evidence also motivates the rigorous pairwise significance testing of Section 2.7.</w:t>
      </w:r>
    </w:p>
    <w:p w14:paraId="49B89635" w14:textId="77777777" w:rsidR="00944466" w:rsidRDefault="00944466"/>
    <w:p w14:paraId="72A3FBF5" w14:textId="77777777" w:rsidR="00787B48" w:rsidRDefault="00000000">
      <w:pPr>
        <w:pStyle w:val="Heading2"/>
      </w:pPr>
      <w:bookmarkStart w:id="3" w:name="X6a674fe5361fec0b03881d7accfdc05a4ff0d1d"/>
      <w:r>
        <w:t>2.3 Realised Volatility and Proxy-Robust Evaluation</w:t>
      </w:r>
      <w:bookmarkEnd w:id="3"/>
    </w:p>
    <w:p w14:paraId="1805E65C" w14:textId="01CCF5D5" w:rsidR="00787B48" w:rsidRDefault="00000000">
      <w:r>
        <w:t xml:space="preserve">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 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 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356310BE" w14:textId="2B875BEA" w:rsidR="00787B48" w:rsidRDefault="00000000">
      <w:r>
        <w:t xml:space="preserve">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 QLIKE suits volatility because it penalises under-prediction more heavily than over-prediction, aligning the objective with the asymmetric cost of underestimating risk. On the strength of Patton’s (2011) analysis the dissertation adopts QLIKE as its primary out-of-sample metric, with mean squared error reported as a robustness check.</w:t>
      </w:r>
    </w:p>
    <w:p w14:paraId="34862124" w14:textId="5CDD63EA" w:rsidR="00787B48" w:rsidRDefault="00000000">
      <w:r>
        <w:t xml:space="preserve">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 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18B22CEF" w14:textId="16CA4BB6" w:rsidR="00787B48" w:rsidRDefault="00000000">
      <w:pPr>
        <w:pStyle w:val="Heading2"/>
      </w:pPr>
      <w:bookmarkStart w:id="4" w:name="regime-switching-dynamics"/>
      <w:r>
        <w:t>2.4 Regime-Switching Dynamics</w:t>
      </w:r>
      <w:bookmarkEnd w:id="4"/>
    </w:p>
    <w:p w14:paraId="067291E9" w14:textId="64E4F191" w:rsidR="00787B48" w:rsidRDefault="00000000">
      <w:r>
        <w:t xml:space="preserve">The empirical proposition that financial markets transition between qualitatively distinct dynamic regimes is older than the deep-learning literature by half a century, and its formal econometric foundation is the Markov-switching model of Hamilton (1989). Treating the </w:t>
        <w:lastRenderedPageBreak/>
        <w:t xml:space="preserve">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 The smoothed state probabilities furnish interpretable retrospective inference about which regime was active at each historical date, a property that makes the framework attractive for both forecasting and ex-post narrative. The dissertation adopts a </w:t>
      </w:r>
      <w:r>
        <w:rPr>
          <w:b/>
        </w:rPr>
        <w:t>Gaussian-emission Hidden Markov Model</w:t>
      </w:r>
      <w:r>
        <w:t xml:space="preserve"> rather than a Markov-switching autoregression, where each regime is parameterised as a Gaussian distribution over standardised daily log returns. 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74545D40" w14:textId="7FD79FC0" w:rsidR="00787B48" w:rsidRDefault="00000000" w:rsidP="00591BF3">
      <w:r>
        <w:t xml:space="preserve">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 A model conditioned on a misclassified regime inherits that error rather than correcting it, so apparent gains from conditioning can mask noise in the regime estimate. </w:t>
      </w:r>
      <w:r>
        <w:rPr>
          <w:b/>
        </w:rPr>
        <w:t>The dissertation adopts the Nystrup et al. (2020) jump-penalised estimator directly as the specific remedy for state-switching noise.</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 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638A56A3" w14:textId="77777777" w:rsidR="00787B48" w:rsidRDefault="00000000">
      <w:pPr>
        <w:pStyle w:val="Heading2"/>
      </w:pPr>
      <w:bookmarkStart w:id="5" w:name="deep-learning-for-financial-time-series"/>
      <w:r>
        <w:t>2.5 Deep Learning for Financial Time Series</w:t>
      </w:r>
      <w:bookmarkEnd w:id="5"/>
    </w:p>
    <w:p w14:paraId="4D2A84C1" w14:textId="27BB5543" w:rsidR="00787B48" w:rsidRDefault="00000000">
      <w:r>
        <w:t xml:space="preserve">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 The architecture is retained </w:t>
        <w:lastRenderedPageBreak/>
        <w:t xml:space="preserve">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7333BC46" w14:textId="1D7F1D37" w:rsidR="00787B48" w:rsidRDefault="00000000">
      <w:r>
        <w:t xml:space="preserve">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 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 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by passing the smoothed state probabilities from the HMM as an additional input to the recurrent network.</w:t>
      </w:r>
    </w:p>
    <w:p w14:paraId="22CAB34E" w14:textId="3D324A00" w:rsidR="00787B48" w:rsidRDefault="00000000">
      <w:r>
        <w:t xml:space="preserve">The most direct empirical precedents are two studies of recurrent networks against econometric baselines on equity volatility, and reading them against each other is more instructive than taking either alone. Kim and Won (2018) work on daily KOSPI 200 data and hybridise an LSTM with several GARCH-type models, reporting that the hybrid beats either pure component. Bucci (2020) moves to the S&amp;P 500 but at monthly frequency, benchmarking feed-forward, LSTM and nonlinear autoregressive networks against ARFIMA and HAR, and finds the recurrent architectures the most accurate. The two converge on a single claim saying that LSTM-based models can match or modestly exceed econometric baselines on equity volatility. Yet they reach it from opposite corners of the design space, where Kim and Won at daily frequency but on a return-based target in a 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 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on daily realised volatility, while Reisenhofer, Bayer and Hautsch (2022), a HAR-initialised convolutional network, remains an arXiv preprint and is read here as indicative rather than settled. Neither, in any case, addresses the four gaps jointly.</w:t>
      </w:r>
    </w:p>
    <w:p w14:paraId="65025042" w14:textId="77777777" w:rsidR="00BD2EA7" w:rsidRDefault="00BD2EA7"/>
    <w:p w14:paraId="554D8423" w14:textId="77777777" w:rsidR="00787B48" w:rsidRDefault="00000000">
      <w:pPr>
        <w:pStyle w:val="Heading2"/>
      </w:pPr>
      <w:bookmarkStart w:id="6" w:name="X52a78444787454871f991dd5dc3eed38c292db5"/>
      <w:r>
        <w:lastRenderedPageBreak/>
        <w:t>2.6 Uncertainty Quantification in Deep Forecasting</w:t>
      </w:r>
      <w:bookmarkEnd w:id="6"/>
    </w:p>
    <w:p w14:paraId="19D31386" w14:textId="5EC9B3B3" w:rsidR="00787B48" w:rsidRDefault="00000000">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cost. Monte Carlo Dropout (Gal and Ghahramani, 2016) supplies a </w:t>
      </w:r>
      <w:r>
        <w:rPr>
          <w:bCs/>
        </w:rPr>
        <w:t>Bayesian-approximate</w:t>
      </w:r>
      <w:r>
        <w:t xml:space="preserve"> route that requires no architectural changes and no additional training. Pinball-loss quantile regression, motivated by the CAViaR framework of Engle and Manganelli (2004), supplies a </w:t>
      </w:r>
      <w:r>
        <w:rPr>
          <w:bCs/>
        </w:rPr>
        <w:t>distribution-free econometric</w:t>
      </w:r>
      <w:r>
        <w:t xml:space="preserve"> route that imposes no parametric assumption on the conditional return distribution. The two are paired deliberately because their failure modes do not overlap. Dropout’s variational approximation may underestimate uncertainty under distribution shift, while quantile-regression intervals lack formal coverage guarantees and must be validated empirically. Reporting both, under the proper scoring rules of Gneiting and Raftery (2007), supplies a more defensible probabilistic forecast than either method alone.</w:t>
      </w:r>
    </w:p>
    <w:p w14:paraId="51A0C93B" w14:textId="518A6ABC" w:rsidR="00787B48" w:rsidRDefault="00000000">
      <w:r>
        <w:t xml:space="preserve">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2054B633" w14:textId="13E1B00F" w:rsidR="00787B48" w:rsidRDefault="00000000">
      <w:r>
        <w:t xml:space="preserve">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 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6CDE8D3A" w14:textId="77777777" w:rsidR="00787B48" w:rsidRDefault="00000000">
      <w:pPr>
        <w:pStyle w:val="Heading2"/>
      </w:pPr>
      <w:bookmarkStart w:id="7" w:name="forecast-evaluation-and-comparison"/>
      <w:r>
        <w:t>2.7 Forecast Evaluation and Comparison</w:t>
      </w:r>
      <w:bookmarkEnd w:id="7"/>
    </w:p>
    <w:p w14:paraId="30DCEDF2" w14:textId="60641526" w:rsidR="00787B48" w:rsidRDefault="00000000" w:rsidP="000F1C49">
      <w:r>
        <w:t xml:space="preserve">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 The dissertation uses the Diebold-Mariano test as its primary pairwise significance test for forecast superiority, with the QLIKE loss adopted following Patton (2011). Because the pipeline compares many models, pairwise testing </w:t>
        <w:lastRenderedPageBreak/>
        <w:t xml:space="preserve">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degrade the test’s power and inflate its size, and Giacomini and White (2006) refine this framework for the long-memory loss series typical of volatility.</w:t>
      </w:r>
    </w:p>
    <w:p w14:paraId="26A12AC4" w14:textId="3114AD30" w:rsidR="00787B48" w:rsidRDefault="00000000">
      <w:r>
        <w:t xml:space="preserve">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 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0FF2707B" w14:textId="77777777" w:rsidR="00787B48" w:rsidRDefault="00000000">
      <w:pPr>
        <w:pStyle w:val="Heading2"/>
      </w:pPr>
      <w:bookmarkStart w:id="8" w:name="synthesis-and-identified-gap"/>
      <w:r>
        <w:t>2.8 Synthesis and Identified Gap</w:t>
      </w:r>
      <w:bookmarkEnd w:id="8"/>
    </w:p>
    <w:p w14:paraId="62D1D8E7" w14:textId="215BA1B5" w:rsidR="00787B48" w:rsidRDefault="00000000">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 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 The </w:t>
      </w:r>
      <w:r>
        <w:rPr>
          <w:b/>
        </w:rPr>
        <w:t>probabilistic / uncertainty-quantification</w:t>
      </w:r>
      <w:r>
        <w:t xml:space="preserve"> tradition provides two complementary routes to calibrated predictive distributions, the Monte Carlo Dropout (Gal and Ghahramani, 2016) and pinball-loss quantile regression rooted in CAViaR (Engle and Manganelli, 2004), evaluated against proper scoring rules (Gneiting and Raftery, 2007), and have been benchmarked extensively on general tasks but rarely on financial volatility. Across all four, the evidence is uneven (single-market, non-daily, or non-financial) and so indicative rather than decisive here.</w:t>
      </w:r>
    </w:p>
    <w:p w14:paraId="277AF4EE" w14:textId="4E656D47" w:rsidR="00787B48" w:rsidRDefault="00000000">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 The proposed pipeline assembles GARCH(1,1), EGARCH and HAR-RV as parametric baselines, an unconditional LSTM as a non-linear sequence baseline, a regime-aware LSTM </w:t>
        <w:lastRenderedPageBreak/>
        <w:t xml:space="preserve">conditioned on a Gaussian-emission HMM estimated with the Nystrup et al. (2020) jump penalty,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33130E3A" w14:textId="77777777" w:rsidR="00787B48" w:rsidRDefault="00000000">
      <w:pPr>
        <w:pStyle w:val="Heading1"/>
      </w:pPr>
      <w:bookmarkStart w:id="9" w:name="references"/>
      <w:r>
        <w:t>References</w:t>
      </w:r>
      <w:bookmarkEnd w:id="9"/>
    </w:p>
    <w:p w14:paraId="7D1590A6" w14:textId="77777777" w:rsidR="00787B48" w:rsidRDefault="00000000">
      <w:r>
        <w:t xml:space="preserve">Andersen, T.G., Bollerslev, T., Diebold, F.X. and Labys, P., 2003. Modeling and forecasting realized volatility. </w:t>
      </w:r>
      <w:r>
        <w:rPr>
          <w:i/>
        </w:rPr>
        <w:t>Econometrica</w:t>
      </w:r>
      <w:r>
        <w:t>, 71(2), pp.579–625. https://doi.org/10.1111/1468-0262.00418</w:t>
      </w:r>
    </w:p>
    <w:p w14:paraId="3F5B1861" w14:textId="77777777" w:rsidR="001350DB" w:rsidRDefault="00000000">
      <w:r>
        <w:t xml:space="preserve">Ang, A. and Bekaert, G., 2002. International asset allocation with regime shifts. </w:t>
      </w:r>
      <w:r>
        <w:rPr>
          <w:i/>
        </w:rPr>
        <w:t>The Review of Financial Studies</w:t>
      </w:r>
      <w:r>
        <w:t>, 15(4), pp.1137–1187. https://doi.org/10.1093/rfs/15.4.1137</w:t>
      </w:r>
    </w:p>
    <w:p w14:paraId="24C3269E" w14:textId="77777777" w:rsidR="001350DB" w:rsidRDefault="00000000">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6DAD4C05" w14:textId="77777777" w:rsidR="00787B48" w:rsidRDefault="00000000">
      <w:r>
        <w:t xml:space="preserve">Bollerslev, T., 1986. Generalized autoregressive conditional heteroskedasticity. </w:t>
      </w:r>
      <w:r>
        <w:rPr>
          <w:i/>
        </w:rPr>
        <w:t>Journal of Econometrics</w:t>
      </w:r>
      <w:r>
        <w:t>, 31(3), pp.307–327. https://doi.org/10.1016/0304-4076(86)90063-1</w:t>
      </w:r>
    </w:p>
    <w:p w14:paraId="2C4A46BE" w14:textId="77777777" w:rsidR="001350DB" w:rsidRDefault="00000000">
      <w:r>
        <w:t xml:space="preserve">Bollerslev, T., Patton, A.J. and Quaedvlieg, R., 2016. Exploiting the errors: a simple approach for improved volatility forecasting. </w:t>
      </w:r>
      <w:r>
        <w:rPr>
          <w:i/>
        </w:rPr>
        <w:t>Journal of Econometrics</w:t>
      </w:r>
      <w:r>
        <w:t>, 192(1), pp.1–18. https://doi.org/10.1016/j.jeconom.2015.10.007</w:t>
      </w:r>
    </w:p>
    <w:p w14:paraId="3888A24B" w14:textId="77777777" w:rsidR="00787B48" w:rsidRDefault="00000000">
      <w:r>
        <w:t xml:space="preserve">Bucci, A., 2020. Realized volatility forecasting with neural networks. </w:t>
      </w:r>
      <w:r>
        <w:rPr>
          <w:i/>
        </w:rPr>
        <w:t>Journal of Financial Econometrics</w:t>
      </w:r>
      <w:r>
        <w:t>, 18(3), pp.502–531. https://doi.org/10.1093/jjfinec/nbaa008</w:t>
      </w:r>
    </w:p>
    <w:p w14:paraId="6CC6E4B8" w14:textId="77777777" w:rsidR="001350DB" w:rsidRDefault="00000000">
      <w:r>
        <w:t xml:space="preserve">Christensen, K., Siggaard, M. and Veliyev, B., 2023. A machine learning approach to volatility forecasting. </w:t>
      </w:r>
      <w:r>
        <w:rPr>
          <w:i/>
        </w:rPr>
        <w:t>Journal of Financial Econometrics</w:t>
      </w:r>
      <w:r>
        <w:t>, 21(5), pp.1680–1727. https://doi.org/10.1093/jjfinec/nbac020</w:t>
      </w:r>
    </w:p>
    <w:p w14:paraId="25416001" w14:textId="77777777" w:rsidR="00787B48" w:rsidRDefault="00000000">
      <w:r>
        <w:t xml:space="preserve">Cont, R., 2001. Empirical properties of asset returns: stylized facts and statistical issues. </w:t>
      </w:r>
      <w:r>
        <w:rPr>
          <w:i/>
        </w:rPr>
        <w:t>Quantitative Finance</w:t>
      </w:r>
      <w:r>
        <w:t>, 1(2), pp.223–236. https://doi.org/10.1080/713665670</w:t>
      </w:r>
    </w:p>
    <w:p w14:paraId="580CD543" w14:textId="77777777" w:rsidR="00787B48" w:rsidRDefault="00000000">
      <w:r>
        <w:t xml:space="preserve">Corsi, F., 2009. A simple approximate long-memory model of realized volatility. </w:t>
      </w:r>
      <w:r>
        <w:rPr>
          <w:i/>
        </w:rPr>
        <w:t>Journal of Financial Econometrics</w:t>
      </w:r>
      <w:r>
        <w:t>, 7(2), pp.174–196. https://doi.org/10.1093/jjfinec/nbp001</w:t>
      </w:r>
    </w:p>
    <w:p w14:paraId="7F5E4F71" w14:textId="77777777" w:rsidR="001350DB" w:rsidRDefault="00000000">
      <w:r>
        <w:t xml:space="preserve">Dacco, R. and Satchell, S., 1999. Why do regime-switching models forecast so badly? </w:t>
      </w:r>
      <w:r>
        <w:rPr>
          <w:i/>
        </w:rPr>
        <w:t>Journal of Forecasting</w:t>
      </w:r>
      <w:r>
        <w:t>, 18(1), pp.1–16. https://doi.org/10.1002/(SICI)1099-131X(199901)18:1%3C1::AID-FOR685%3E3.0.CO;2-B</w:t>
      </w:r>
    </w:p>
    <w:p w14:paraId="601A95AA" w14:textId="77777777" w:rsidR="00787B48" w:rsidRDefault="00000000">
      <w:r>
        <w:t xml:space="preserve">Diebold, F.X. and Mariano, R.S., 1995. Comparing predictive accuracy. </w:t>
      </w:r>
      <w:r>
        <w:rPr>
          <w:i/>
        </w:rPr>
        <w:t>Journal of Business &amp; Economic Statistics</w:t>
      </w:r>
      <w:r>
        <w:t>, 13(3), pp.253–263. https://doi.org/10.1080/07350015.1995.10524599</w:t>
      </w:r>
    </w:p>
    <w:p w14:paraId="76EC7F15" w14:textId="77777777" w:rsidR="00787B48" w:rsidRDefault="00000000">
      <w:r>
        <w:t xml:space="preserve">Engle, R.F., 1982. Autoregressive conditional heteroscedasticity with estimates of the variance of United Kingdom inflation. </w:t>
      </w:r>
      <w:r>
        <w:rPr>
          <w:i/>
        </w:rPr>
        <w:t>Econometrica</w:t>
      </w:r>
      <w:r>
        <w:t>, 50(4), pp.987–1007. https://doi.org/10.2307/1912773</w:t>
      </w:r>
    </w:p>
    <w:p w14:paraId="69D45125" w14:textId="77777777" w:rsidR="00787B48" w:rsidRDefault="00000000">
      <w:r>
        <w:t xml:space="preserve">Engle, R.F. and Manganelli, S., 2004. CAViaR: conditional autoregressive value at risk by regression quantiles. </w:t>
      </w:r>
      <w:r>
        <w:rPr>
          <w:i/>
        </w:rPr>
        <w:t>Journal of Business &amp; Economic Statistics</w:t>
      </w:r>
      <w:r>
        <w:t>, 22(4), pp.367–381. https://doi.org/10.1198/073500104000000370</w:t>
      </w:r>
    </w:p>
    <w:p w14:paraId="1139F6D9" w14:textId="77777777" w:rsidR="00787B48" w:rsidRDefault="00000000">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77BFA6B7" w14:textId="77777777" w:rsidR="00787B48" w:rsidRDefault="00000000">
      <w:r>
        <w:t xml:space="preserve">Giacomini, R. and White, H., 2006. Tests of conditional predictive ability. </w:t>
      </w:r>
      <w:r>
        <w:rPr>
          <w:i/>
        </w:rPr>
        <w:t>Econometrica</w:t>
      </w:r>
      <w:r>
        <w:t>, 74(6), pp.1545–1578. https://doi.org/10.1111/j.1468-0262.2006.00718.x</w:t>
      </w:r>
    </w:p>
    <w:p w14:paraId="0E6BAA0D" w14:textId="77777777" w:rsidR="001350DB" w:rsidRDefault="00000000">
      <w:r>
        <w:lastRenderedPageBreak/>
        <w:t xml:space="preserve">Gibbs, I. and Candès, E., 2021. Adaptive conformal inference under distribution shift. In: </w:t>
      </w:r>
      <w:r>
        <w:rPr>
          <w:i/>
        </w:rPr>
        <w:t>Advances in Neural Information Processing Systems 34 (NeurIPS 2021)</w:t>
      </w:r>
      <w:r>
        <w:t>.</w:t>
      </w:r>
    </w:p>
    <w:p w14:paraId="53677A08" w14:textId="77777777" w:rsidR="00787B48" w:rsidRDefault="00000000">
      <w:r>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43C15F6B" w14:textId="5E925716" w:rsidR="00787B48" w:rsidRDefault="00000000">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61A6A729" w14:textId="0DA5640F" w:rsidR="00591BF3" w:rsidRDefault="00591BF3" w:rsidP="00591BF3">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102F85E2" w14:textId="09B9EEE6" w:rsidR="000F1C49" w:rsidRPr="00591BF3" w:rsidRDefault="000F1C49" w:rsidP="000F1C49">
      <w:r>
        <w:t>Gu, S., Kelly, B. and Xiu, D., 2020. Empirical asset pricing via machine learning. </w:t>
      </w:r>
      <w:r>
        <w:rPr>
          <w:i/>
          <w:iCs/>
        </w:rPr>
        <w:t>The Review of Financial Studies</w:t>
      </w:r>
      <w:r>
        <w:t>, </w:t>
      </w:r>
      <w:r>
        <w:rPr>
          <w:i/>
          <w:iCs/>
        </w:rPr>
        <w:t>33</w:t>
      </w:r>
      <w:r>
        <w:t>(5), pp.2223-2273.</w:t>
      </w:r>
    </w:p>
    <w:p w14:paraId="6C7675E4" w14:textId="77777777" w:rsidR="00787B48" w:rsidRDefault="00000000">
      <w:r>
        <w:t xml:space="preserve">Hamilton, J.D., 1989. A new approach to the economic analysis of nonstationary time series and the business cycle. </w:t>
      </w:r>
      <w:r>
        <w:rPr>
          <w:i/>
        </w:rPr>
        <w:t>Econometrica</w:t>
      </w:r>
      <w:r>
        <w:t>, 57(2), pp.357–384. https://doi.org/10.2307/1912559</w:t>
      </w:r>
    </w:p>
    <w:p w14:paraId="1795ACDC" w14:textId="77777777" w:rsidR="001350DB" w:rsidRDefault="00000000">
      <w:r>
        <w:t xml:space="preserve">Hansen, P.R., Huang, Z. and Shek, H.H., 2012. Realized GARCH: a joint model for returns and realized measures of volatility. </w:t>
      </w:r>
      <w:r>
        <w:rPr>
          <w:i/>
        </w:rPr>
        <w:t>Journal of Applied Econometrics</w:t>
      </w:r>
      <w:r>
        <w:t>, 27(6), pp.877–906. https://doi.org/10.1002/jae.1234</w:t>
      </w:r>
    </w:p>
    <w:p w14:paraId="64151F4E" w14:textId="77777777" w:rsidR="00787B48" w:rsidRDefault="00000000">
      <w:r>
        <w:t xml:space="preserve">Hansen, P.R. and Lunde, A., 2005. A forecast comparison of volatility models: does anything beat a GARCH(1,1)? </w:t>
      </w:r>
      <w:r>
        <w:rPr>
          <w:i/>
        </w:rPr>
        <w:t>Journal of Applied Econometrics</w:t>
      </w:r>
      <w:r>
        <w:t>, 20(7), pp.873–889. https://doi.org/10.1002/jae.800</w:t>
      </w:r>
    </w:p>
    <w:p w14:paraId="195ED3B2" w14:textId="77777777" w:rsidR="001350DB" w:rsidRDefault="00000000">
      <w:r>
        <w:t xml:space="preserve">Hansen, P.R., Lunde, A. and Nason, J.M., 2011. The model confidence set. </w:t>
      </w:r>
      <w:r>
        <w:rPr>
          <w:i/>
        </w:rPr>
        <w:t>Econometrica</w:t>
      </w:r>
      <w:r>
        <w:t>, 79(2), pp.453–497. https://doi.org/10.3982/ECTA5771</w:t>
      </w:r>
    </w:p>
    <w:p w14:paraId="5EBE2C02" w14:textId="77777777" w:rsidR="001350DB" w:rsidRDefault="00000000">
      <w:r>
        <w:t xml:space="preserve">Heber, G., Lunde, A., Shephard, N. and Sheppard, K., 2009. Oxford-Man Institute’s realized library. Oxford-Man Institute, University of Oxford.</w:t>
      </w:r>
    </w:p>
    <w:p w14:paraId="65EC1DC4" w14:textId="77777777" w:rsidR="00787B48" w:rsidRDefault="00000000">
      <w:r>
        <w:rPr>
          <w:lang w:val="de-DE"/>
        </w:rPr>
        <w:t xml:space="preserve">Hochreiter, S. and Schmidhuber, J., 1997. </w:t>
      </w:r>
      <w:r>
        <w:t xml:space="preserve">Long short-term memory. </w:t>
      </w:r>
      <w:r>
        <w:rPr>
          <w:i/>
        </w:rPr>
        <w:t>Neural Computation</w:t>
      </w:r>
      <w:r>
        <w:t>, 9(8), pp.1735–1780. https://doi.org/10.1162/neco.1997.9.8.1735</w:t>
      </w:r>
    </w:p>
    <w:p w14:paraId="2E3EDAB2" w14:textId="77777777" w:rsidR="001350DB" w:rsidRDefault="00000000">
      <w:r>
        <w:t xml:space="preserve">Kim, S., Shephard, N. and Chib, S., 1998. Stochastic volatility: likelihood inference and comparison with ARCH models. </w:t>
      </w:r>
      <w:r>
        <w:rPr>
          <w:i/>
        </w:rPr>
        <w:t>The Review of Economic Studies</w:t>
      </w:r>
      <w:r>
        <w:t>, 65(3), pp.361–393. https://doi.org/10.1111/1467-937X.00050</w:t>
      </w:r>
    </w:p>
    <w:p w14:paraId="3C58A71F" w14:textId="77777777" w:rsidR="00787B48" w:rsidRDefault="00000000">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30101C8A" w14:textId="77777777" w:rsidR="001350DB" w:rsidRDefault="00000000">
      <w:r>
        <w:t xml:space="preserve">Lakshminarayanan, B., Pritzel, A. and Blundell, C., 2017. Simple and scalable predictive uncertainty estimation using deep ensembles. In: </w:t>
      </w:r>
      <w:r>
        <w:rPr>
          <w:i/>
        </w:rPr>
        <w:t>Advances in Neural Information Processing Systems 30 (NeurIPS 2017)</w:t>
      </w:r>
      <w:r>
        <w:t>.</w:t>
      </w:r>
    </w:p>
    <w:p w14:paraId="7523B086" w14:textId="77777777" w:rsidR="001350DB" w:rsidRDefault="00000000">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7537EF13" w14:textId="64F17033" w:rsidR="00787B48" w:rsidRDefault="00000000">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7EE4834B" w14:textId="2279887D" w:rsidR="000F1C49" w:rsidRDefault="000F1C49" w:rsidP="000F1C49">
      <w:r>
        <w:t>Makridakis, S., Spiliotis, E. and Assimakopoulos, V., 2020. The M4 Competition: 100,000 time series and 61 forecasting methods. </w:t>
      </w:r>
      <w:r>
        <w:rPr>
          <w:i/>
          <w:iCs/>
        </w:rPr>
        <w:t>International Journal of Forecasting</w:t>
      </w:r>
      <w:r>
        <w:t>, </w:t>
      </w:r>
      <w:r>
        <w:rPr>
          <w:i/>
          <w:iCs/>
        </w:rPr>
        <w:t>36</w:t>
      </w:r>
      <w:r>
        <w:t>(1), pp.54-74.</w:t>
      </w:r>
    </w:p>
    <w:p w14:paraId="7DDBA967" w14:textId="77777777" w:rsidR="00787B48" w:rsidRDefault="00000000">
      <w:r>
        <w:t xml:space="preserve">Nelson, D.B., 1991. Conditional heteroskedasticity in asset returns: a new approach. </w:t>
      </w:r>
      <w:r>
        <w:rPr>
          <w:i/>
        </w:rPr>
        <w:t>Econometrica</w:t>
      </w:r>
      <w:r>
        <w:t>, 59(2), pp.347–370. https://doi.org/10.2307/2938260</w:t>
      </w:r>
    </w:p>
    <w:p w14:paraId="6EFEDE35" w14:textId="77777777" w:rsidR="00787B48" w:rsidRDefault="00000000">
      <w:r>
        <w:t xml:space="preserve">Nystrup, P., Lindstrom, E. and Madsen, H., 2020. Learning hidden Markov models with persistent states by penalizing jumps. </w:t>
      </w:r>
      <w:r>
        <w:rPr>
          <w:i/>
        </w:rPr>
        <w:t>Expert Systems with Applications</w:t>
      </w:r>
      <w:r>
        <w:t>, 150, 113307. https://doi.org/10.1016/j.eswa.2020.113307</w:t>
      </w:r>
    </w:p>
    <w:p w14:paraId="429F98F4" w14:textId="77777777" w:rsidR="001350DB" w:rsidRDefault="00000000">
      <w:r>
        <w:t xml:space="preserve">Ovadia, Y., Fertig, E., Ren, J., Nado, Z., Sculley, D., Nowozin, S., Dillon, J.V., Lakshminarayanan, B. and Snoek, J., 2019. Can you trust your model’s uncertainty? </w:t>
        <w:lastRenderedPageBreak/>
        <w:t xml:space="preserve">Evaluating predictive uncertainty under dataset shift. In: </w:t>
      </w:r>
      <w:r>
        <w:rPr>
          <w:i/>
        </w:rPr>
        <w:t>Advances in Neural Information Processing Systems 32 (NeurIPS 2019)</w:t>
      </w:r>
      <w:r>
        <w:t>.</w:t>
      </w:r>
    </w:p>
    <w:p w14:paraId="7FBBB2A9" w14:textId="77777777" w:rsidR="00787B48" w:rsidRDefault="00000000">
      <w:r>
        <w:t xml:space="preserve">Patton, A.J., 2011. Volatility forecast comparison using imperfect volatility proxies. </w:t>
      </w:r>
      <w:r>
        <w:rPr>
          <w:i/>
        </w:rPr>
        <w:t>Journal of Econometrics</w:t>
      </w:r>
      <w:r>
        <w:t xml:space="preserve">, 160(1), pp.246–256. https://doi.org/10.1016/j.jeconom.2010.03.034 </w:t>
      </w:r>
    </w:p>
    <w:p w14:paraId="5EC1FE6B" w14:textId="77777777" w:rsidR="001350DB" w:rsidRDefault="00000000">
      <w:r>
        <w:t xml:space="preserve">Reisenhofer, R., Bayer, X. and Hautsch, N., 2022. HARNet: a convolutional neural network for realized volatility forecasting. </w:t>
      </w:r>
      <w:r>
        <w:rPr>
          <w:i/>
        </w:rPr>
        <w:t>arXiv preprint arXiv:2205.07719</w:t>
      </w:r>
      <w:r>
        <w:t>. https://doi.org/10.48550/arXiv.2205.07719</w:t>
      </w:r>
    </w:p>
    <w:p w14:paraId="534A46FB" w14:textId="77777777" w:rsidR="001350DB" w:rsidRDefault="00000000">
      <w:r>
        <w:t xml:space="preserve">Romano, Y., Patterson, E. and Candès, E., 2019. Conformalized quantile regression. In: </w:t>
      </w:r>
      <w:r>
        <w:rPr>
          <w:i/>
        </w:rPr>
        <w:t>Advances in Neural Information Processing Systems 32 (NeurIPS 2019)</w:t>
      </w:r>
      <w:r>
        <w:t>.</w:t>
      </w:r>
    </w:p>
    <w:p w14:paraId="6391EB8A" w14:textId="77777777" w:rsidR="001350DB" w:rsidRDefault="00000000">
      <w:r>
        <w:t xml:space="preserve">Taylor, S.J., 1986. </w:t>
      </w:r>
      <w:r>
        <w:rPr>
          <w:i/>
        </w:rPr>
        <w:t>Modelling Financial Time Series</w:t>
      </w:r>
      <w:r>
        <w:t>. Chichester: John Wiley &amp; Sons.</w:t>
      </w:r>
    </w:p>
    <w:p w14:paraId="7005FD99" w14:textId="77777777" w:rsidR="001350DB" w:rsidRDefault="00000000">
      <w:r>
        <w:t xml:space="preserve">Vaswani, A., Shazeer, N., Parmar, N., Uszkoreit, J., Jones, L., Gomez, A.N., Kaiser, Ł. and Polosukhin, I., 2017. Attention is all you need. In: </w:t>
      </w:r>
      <w:r>
        <w:rPr>
          <w:i/>
        </w:rPr>
        <w:t>Advances in Neural Information Processing Systems 30 (NeurIPS 2017)</w:t>
      </w:r>
      <w:r>
        <w:t>.</w:t>
      </w:r>
    </w:p>
    <w:p w14:paraId="30DEC913" w14:textId="77777777" w:rsidR="001350DB" w:rsidRDefault="00000000">
      <w:r>
        <w:t xml:space="preserve">Xu, C. and Xie, Y., 2021. Conformal prediction interval for dynamic time-series. In: </w:t>
      </w:r>
      <w:r>
        <w:rPr>
          <w:i/>
        </w:rPr>
        <w:t>Proceedings of the 38th International Conference on Machine Learning (ICML)</w:t>
      </w:r>
      <w:r>
        <w:t>, PMLR 139.</w:t>
      </w:r>
    </w:p>
    <w:p w14:paraId="6DD4A65B" w14:textId="77777777" w:rsidR="001350DB" w:rsidRDefault="00000000">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11FEE3B4" w14:textId="77777777" w:rsidR="001350DB" w:rsidRDefault="00000000">
      <w:r>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62E2C" w14:textId="77777777" w:rsidR="002D317C" w:rsidRDefault="002D317C">
      <w:r>
        <w:separator/>
      </w:r>
    </w:p>
  </w:endnote>
  <w:endnote w:type="continuationSeparator" w:id="0">
    <w:p w14:paraId="42D22959" w14:textId="77777777" w:rsidR="002D317C" w:rsidRDefault="002D3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7DD02"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1EF46" w14:textId="77777777" w:rsidR="002D317C" w:rsidRDefault="002D317C">
      <w:r>
        <w:separator/>
      </w:r>
    </w:p>
  </w:footnote>
  <w:footnote w:type="continuationSeparator" w:id="0">
    <w:p w14:paraId="55A3C2B5" w14:textId="77777777" w:rsidR="002D317C" w:rsidRDefault="002D31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B2071"/>
    <w:rsid w:val="000F1C49"/>
    <w:rsid w:val="001350DB"/>
    <w:rsid w:val="0014729D"/>
    <w:rsid w:val="00195015"/>
    <w:rsid w:val="002D317C"/>
    <w:rsid w:val="003242E7"/>
    <w:rsid w:val="00386811"/>
    <w:rsid w:val="00416B3E"/>
    <w:rsid w:val="004705F8"/>
    <w:rsid w:val="00474AA6"/>
    <w:rsid w:val="00485F53"/>
    <w:rsid w:val="004E29B3"/>
    <w:rsid w:val="00501376"/>
    <w:rsid w:val="005576B8"/>
    <w:rsid w:val="0058627D"/>
    <w:rsid w:val="00590D07"/>
    <w:rsid w:val="00591BF3"/>
    <w:rsid w:val="0059202A"/>
    <w:rsid w:val="005F12B6"/>
    <w:rsid w:val="006C6E53"/>
    <w:rsid w:val="00755AB9"/>
    <w:rsid w:val="00782DE2"/>
    <w:rsid w:val="00784D58"/>
    <w:rsid w:val="00787B48"/>
    <w:rsid w:val="007F4343"/>
    <w:rsid w:val="008D6863"/>
    <w:rsid w:val="009075B2"/>
    <w:rsid w:val="00942266"/>
    <w:rsid w:val="00944466"/>
    <w:rsid w:val="0096583B"/>
    <w:rsid w:val="009B1F6F"/>
    <w:rsid w:val="009F4767"/>
    <w:rsid w:val="00A24F2F"/>
    <w:rsid w:val="00A60971"/>
    <w:rsid w:val="00A6543D"/>
    <w:rsid w:val="00AC5D1D"/>
    <w:rsid w:val="00AF3761"/>
    <w:rsid w:val="00B07C30"/>
    <w:rsid w:val="00B602DA"/>
    <w:rsid w:val="00B73C32"/>
    <w:rsid w:val="00B86B75"/>
    <w:rsid w:val="00BC48D5"/>
    <w:rsid w:val="00BD2EA7"/>
    <w:rsid w:val="00C36279"/>
    <w:rsid w:val="00C73EF9"/>
    <w:rsid w:val="00C95AC7"/>
    <w:rsid w:val="00CB0E22"/>
    <w:rsid w:val="00CB5259"/>
    <w:rsid w:val="00D27391"/>
    <w:rsid w:val="00D274D1"/>
    <w:rsid w:val="00E07317"/>
    <w:rsid w:val="00E315A3"/>
    <w:rsid w:val="00E35D17"/>
    <w:rsid w:val="00E5410D"/>
    <w:rsid w:val="00E659D3"/>
    <w:rsid w:val="00F04186"/>
    <w:rsid w:val="00F33024"/>
    <w:rsid w:val="00F87DA5"/>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AA110"/>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5598</Words>
  <Characters>31911</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37435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30</cp:revision>
  <dcterms:created xsi:type="dcterms:W3CDTF">2026-06-30T00:45:00Z</dcterms:created>
  <dcterms:modified xsi:type="dcterms:W3CDTF">2026-07-05T01:44:00Z</dcterms:modified>
</cp:coreProperties>
</file>