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rPr>
          <w:rFonts w:ascii="Calibri" w:cs="Calibri" w:eastAsia="Calibri" w:hAnsi="Calibri"/>
          <w:color w:val="111111"/>
          <w:sz w:val="22"/>
          <w:szCs w:val="22"/>
        </w:rPr>
        <w:t>Figure 3.1 shows the pipeline, Sections 3.2 to 3.7 taking its stages in order. The target is realised variance rather than realised volatility, every loss computed on the variance scale, and Table 3.1 fixes each model's role, Appendix A.1 the symbols used throughout, and Appendix A.2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spacing w:after="90" w:before="200"/>
      </w:pPr>
      <w:r>
        <w:rPr>
          <w:rFonts w:ascii="Calibri" w:cs="Calibri" w:eastAsia="Calibri" w:hAnsi="Calibri"/>
          <w:b/>
          <w:bCs/>
          <w:color w:val="111111"/>
          <w:sz w:val="19"/>
          <w:szCs w:val="19"/>
        </w:rP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000"/>
        <w:gridCol w:w="228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28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Close-to-close return for the variance baselines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session-only measures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 matched to the target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z</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regime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the number of days in the estimation window,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c</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feature vector is deliberately minimal — the daily log return, standardised on training rows only — which is the simple Gaussian emission Chapter 2 §2.4 argues for.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the filtered posterior </w:t>
      </w:r>
      <w:r>
        <w:rPr>
          <w:rFonts w:ascii="Calibri" w:cs="Calibri" w:eastAsia="Calibri" w:hAnsi="Calibri"/>
          <w:i/>
          <w:iCs/>
          <w:color w:val="111111"/>
          <w:sz w:val="22"/>
          <w:szCs w:val="22"/>
        </w:rPr>
        <w:t xml:space="preserve">ξ</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z</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 z</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The state count is fixed rather than fitted: three states — calm, transitional and crisis — are set in advance on the interpretability grounds of Chapter 2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What varies across the models of Table 3.1 is the information each may use and the form each may take, one at a time. Three econometric baselines each close off a competing explanation, alongside a reference floor; Table 3.3 states what each rules out.</w:t>
      </w:r>
    </w:p>
    <w:p>
      <w:pPr>
        <w:spacing w:after="90" w:before="200"/>
      </w:pPr>
      <w:r>
        <w:rPr>
          <w:rFonts w:ascii="Calibri" w:cs="Calibri" w:eastAsia="Calibri" w:hAnsi="Calibri"/>
          <w:b/>
          <w:bCs/>
          <w:color w:val="111111"/>
          <w:sz w:val="19"/>
          <w:szCs w:val="19"/>
        </w:rPr>
        <w:t>Table 3.3  The baseline set and what each is there to rule out. The conditional-variance models take open-to-close returns,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rPr>
          <w:rFonts w:ascii="Calibri" w:cs="Calibri" w:eastAsia="Calibri" w:hAnsi="Calibri"/>
          <w:color w:val="111111"/>
          <w:sz w:val="22"/>
          <w:szCs w:val="22"/>
        </w:rPr>
        <w:t xml:space="preserve">Two architectures condition that network on the regime signal, differing in where it enters. Regime as feature appends the lagged posterior to the input vector. A mixture of experts (Jacobs et al., 1991) trains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network's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the mixture returns,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k-th element of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t</w:t>
      </w:r>
      <w:r>
        <w:rPr>
          <w:rFonts w:ascii="Calibri" w:cs="Calibri" w:eastAsia="Calibri" w:hAnsi="Calibri"/>
          <w:color w:val="111111"/>
          <w:sz w:val="22"/>
          <w:szCs w:val="22"/>
        </w:rPr>
        <w:t xml:space="preserve"> is the variance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rPr>
          <w:rFonts w:ascii="Calibri" w:cs="Calibri" w:eastAsia="Calibri" w:hAnsi="Calibri"/>
          <w:color w:val="111111"/>
          <w:sz w:val="22"/>
          <w:szCs w:val="22"/>
        </w:rPr>
        <w:t>Appendix A.2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and the method adds uncertainty rather than a different forecast; only inference changes, the dropout staying active while the network runs </w:t>
      </w:r>
      <w:r>
        <w:rPr>
          <w:rFonts w:ascii="Calibri" w:cs="Calibri" w:eastAsia="Calibri" w:hAnsi="Calibri"/>
          <w:i/>
          <w:iCs/>
          <w:color w:val="111111"/>
          <w:sz w:val="22"/>
          <w:szCs w:val="22"/>
        </w:rPr>
        <w:t>B</w:t>
      </w:r>
      <w:r>
        <w:rPr>
          <w:rFonts w:ascii="Calibri" w:cs="Calibri" w:eastAsia="Calibri" w:hAnsi="Calibri"/>
          <w:color w:val="111111"/>
          <w:sz w:val="22"/>
          <w:szCs w:val="22"/>
        </w:rPr>
        <w:t xml:space="preserve"> stochastic passes. 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point model also keeps the comparison clean: a difference in interval quality cannot be a difference in the forecaster.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B</w:t>
      </w:r>
      <w:r>
        <w:rPr>
          <w:rFonts w:ascii="Calibri" w:cs="Calibri" w:eastAsia="Calibri" w:hAnsi="Calibri"/>
          <w:color w:val="111111"/>
          <w:sz w:val="22"/>
          <w:szCs w:val="22"/>
        </w:rPr>
        <w:t xml:space="preserve"> is the number of stochastic passes,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total predictive variance, its first term the epistemic component,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p>
    <w:p>
      <w:pPr>
        <w:spacing w:after="160" w:line="320"/>
        <w:jc w:val="both"/>
      </w:pPr>
      <w:r>
        <w:rPr>
          <w:rFonts w:ascii="Calibri" w:cs="Calibri" w:eastAsia="Calibri" w:hAnsi="Calibri"/>
          <w:color w:val="111111"/>
          <w:sz w:val="22"/>
          <w:szCs w:val="22"/>
        </w:rP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A.2. A third specification, LSTM-Gaussian in Appendix A.2, is the same network's deterministic forecast with an aleatoric-only interval, isolating what the passes buy. Hyperparameters stay at the Section 3.6 values.</w:t>
      </w:r>
    </w:p>
    <w:p>
      <w:pPr>
        <w:spacing w:after="160" w:line="320"/>
        <w:jc w:val="both"/>
      </w:pPr>
      <w:r>
        <w:rPr>
          <w:rFonts w:ascii="Calibri" w:cs="Calibri" w:eastAsia="Calibri" w:hAnsi="Calibri"/>
          <w:color w:val="111111"/>
          <w:sz w:val="22"/>
          <w:szCs w:val="22"/>
        </w:rP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A.3 states the grid, what each hyperparameter controls, how it is selected and the expected effect of increasing it.</w:t>
      </w:r>
    </w:p>
    <w:p>
      <w:pPr>
        <w:spacing w:after="160" w:line="320"/>
        <w:jc w:val="both"/>
      </w:pPr>
      <w:r>
        <w:rPr>
          <w:rFonts w:ascii="Calibri" w:cs="Calibri" w:eastAsia="Calibri" w:hAnsi="Calibri"/>
          <w:color w:val="111111"/>
          <w:sz w:val="22"/>
          <w:szCs w:val="22"/>
        </w:rPr>
        <w:t>One unswept decision in Appendix A.3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Every interval criterion is reported at 90% and 95%, with 90% the headline: it is the band the quantile head is trained to produce, so comparing methods at any other level would favour the parametric ones by construction.</w:t>
      </w:r>
    </w:p>
    <w:p>
      <w:pPr>
        <w:spacing w:after="90" w:before="200"/>
      </w:pPr>
      <w:r>
        <w:rPr>
          <w:rFonts w:ascii="Calibri" w:cs="Calibri" w:eastAsia="Calibri" w:hAnsi="Calibri"/>
          <w:b/>
          <w:bCs/>
          <w:color w:val="111111"/>
          <w:sz w:val="19"/>
          <w:szCs w:val="19"/>
        </w:rPr>
        <w:t>Table 3.4  Evaluation criteria and the question each answers. The two departing from standard practice are defined in Equations 3.6 and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 Eq. 3.6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Project-specific; Eq. 3.7, Holm (1979)</w:t>
            </w:r>
          </w:p>
        </w:tc>
      </w:tr>
    </w:tbl>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 xml:space="preserve">	(3.6)</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n</w:t>
      </w:r>
      <w:r>
        <w:rPr>
          <w:rFonts w:ascii="Calibri" w:cs="Calibri" w:eastAsia="Calibri" w:hAnsi="Calibri"/>
          <w:color w:val="111111"/>
          <w:sz w:val="22"/>
          <w:szCs w:val="22"/>
        </w:rPr>
        <w:t xml:space="preserve"> is the number of evaluated days, </w:t>
      </w:r>
      <w:r>
        <w:rPr>
          <w:rFonts w:ascii="Calibri" w:cs="Calibri" w:eastAsia="Calibri" w:hAnsi="Calibri"/>
          <w:i/>
          <w:iCs/>
          <w:color w:val="111111"/>
          <w:sz w:val="22"/>
          <w:szCs w:val="22"/>
        </w:rPr>
        <w:t>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both as defined above. QLIKE is more often written without the final two terms; this form subtracts its value at a perfect forecast, so the loss is zero when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 xml:space="preserve">	(3.7)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r>
      <w:r>
        <w:rPr>
          <w:rFonts w:ascii="Calibri" w:cs="Calibri" w:eastAsia="Calibri" w:hAnsi="Calibri"/>
          <w:i/>
          <w:iCs/>
          <w:color w:val="111111"/>
          <w:sz w:val="19"/>
          <w:szCs w:val="19"/>
          <w:vertAlign w:val="subscript"/>
        </w:rPr>
      </w:r>
      <w:r>
        <w:rPr>
          <w:rFonts w:ascii="Calibri" w:cs="Calibri" w:eastAsia="Calibri" w:hAnsi="Calibri"/>
          <w:color w:val="111111"/>
          <w:sz w:val="22"/>
          <w:szCs w:val="22"/>
        </w:rPr>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are the interval bounds,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rPr>
          <w:rFonts w:ascii="Calibri" w:cs="Calibri" w:eastAsia="Calibri" w:hAnsi="Calibri"/>
          <w:color w:val="111111"/>
          <w:sz w:val="22"/>
          <w:szCs w:val="22"/>
        </w:rP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rPr>
          <w:rFonts w:ascii="Calibri" w:cs="Calibri" w:eastAsia="Calibri" w:hAnsi="Calibri"/>
          <w:color w:val="111111"/>
          <w:sz w:val="22"/>
          <w:szCs w:val="22"/>
        </w:rP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rPr>
          <w:rFonts w:ascii="Calibri" w:cs="Calibri" w:eastAsia="Calibri" w:hAnsi="Calibri"/>
          <w:color w:val="111111"/>
          <w:sz w:val="22"/>
          <w:szCs w:val="22"/>
        </w:rP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rPr>
          <w:rFonts w:ascii="Calibri" w:cs="Calibri" w:eastAsia="Calibri" w:hAnsi="Calibri"/>
          <w:color w:val="111111"/>
          <w:sz w:val="22"/>
          <w:szCs w:val="22"/>
        </w:rPr>
        <w:t>One further quantity is reported alongside the interval criteria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A.4 states the minimum configuration, each requirement following from the architectures of Section 3.4.</w:t>
      </w:r>
    </w:p>
    <w:p>
      <w:pPr>
        <w:spacing w:after="160" w:line="320"/>
        <w:jc w:val="both"/>
      </w:pPr>
      <w:r>
        <w:rPr>
          <w:rFonts w:ascii="Calibri" w:cs="Calibri" w:eastAsia="Calibri" w:hAnsi="Calibri"/>
          <w:color w:val="111111"/>
          <w:sz w:val="22"/>
          <w:szCs w:val="22"/>
        </w:rPr>
        <w:t>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rPr>
          <w:rFonts w:ascii="Calibri" w:cs="Calibri" w:eastAsia="Calibri" w:hAnsi="Calibri"/>
          <w:color w:val="111111"/>
          <w:sz w:val="22"/>
          <w:szCs w:val="22"/>
        </w:rPr>
        <w:t xml:space="preserve">RQ4 asks whether the answers to RQ1–RQ3 are properties of the method or of the market it was developed on. It is answered on a deliberately reduced design, and the reduction is what makes it a check rather than a second study: the econometric baselines and the best-performing deep model only, on a target constructed identically, under the same losses and the same tests. Re-running the full board would multiply comparisons without adding evidence about transfer.</w:t>
      </w:r>
    </w:p>
    <w:p>
      <w:pPr>
        <w:spacing w:after="160" w:line="320"/>
        <w:jc w:val="both"/>
      </w:pPr>
      <w:r>
        <w:rPr>
          <w:rFonts w:ascii="Calibri" w:cs="Calibri" w:eastAsia="Calibri" w:hAnsi="Calibri"/>
          <w:color w:val="111111"/>
          <w:sz w:val="22"/>
          <w:szCs w:val="22"/>
        </w:rP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rPr>
          <w:rFonts w:ascii="Calibri" w:cs="Calibri" w:eastAsia="Calibri" w:hAnsi="Calibri"/>
          <w:color w:val="111111"/>
          <w:sz w:val="22"/>
          <w:szCs w:val="22"/>
        </w:rP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rPr>
          <w:rFonts w:ascii="Calibri" w:cs="Calibri" w:eastAsia="Calibri" w:hAnsi="Calibri"/>
          <w:color w:val="111111"/>
          <w:sz w:val="22"/>
          <w:szCs w:val="22"/>
        </w:rP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1"/>
        <w:spacing w:before="320" w:after="180"/>
      </w:pPr>
      <w:r>
        <w:rPr>
          <w:rFonts w:ascii="Calibri" w:hAnsi="Calibri"/>
          <w:b/>
        </w:rPr>
        <w:t>References</w:t>
      </w:r>
    </w:p>
    <w:p>
      <w:pPr>
        <w:spacing w:after="160" w:line="320" w:lineRule="auto"/>
        <w:ind w:left="567" w:hanging="567"/>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