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20"/>
      </w:pPr>
      <w:r>
        <w:rPr>
          <w:rFonts w:ascii="Calibri" w:cs="Calibri" w:eastAsia="Calibri" w:hAnsi="Calibri"/>
          <w:b/>
          <w:bCs/>
          <w:color w:val="111111"/>
          <w:sz w:val="30"/>
          <w:szCs w:val="30"/>
        </w:rPr>
        <w:t xml:space="preserve">Discussion</w:t>
      </w:r>
    </w:p>
    <w:p>
      <w:pPr>
        <w:pStyle w:val="Heading2"/>
        <w:spacing w:after="180" w:before="320"/>
      </w:pPr>
      <w:r>
        <w:rPr>
          <w:rFonts w:ascii="Calibri" w:cs="Calibri" w:eastAsia="Calibri" w:hAnsi="Calibri"/>
          <w:b/>
          <w:bCs/>
          <w:color w:val="111111"/>
          <w:sz w:val="26"/>
          <w:szCs w:val="26"/>
        </w:rPr>
        <w:t xml:space="preserve">Introduction</w:t>
      </w:r>
    </w:p>
    <w:p>
      <w:pPr>
        <w:spacing w:after="160" w:line="320"/>
        <w:jc w:val="both"/>
      </w:pPr>
      <w:r>
        <w:t xml:space="preserve">Chapter 4 reported what the method returns; this chapter asks why, and what the answers are worth. It is organised around the research questions rather than the exhibits: each section states a finding, gives the mechanism behind it, tests that mechanism against the evidence and against the studies Chapter 2 placed nearest to this one, and says what the finding cannot establish. Limitations are argued where the findings they qualify are made rather than gathered into a section of their own, a limitation being intelligible only beside the claim it qualifies; Section 5.7 then draws together what they jointly imply for the confidence these results can carry.</w:t>
      </w:r>
    </w:p>
    <w:p>
      <w:pPr>
        <w:pStyle w:val="Heading2"/>
        <w:spacing w:after="180" w:before="320"/>
      </w:pPr>
      <w:r>
        <w:rPr>
          <w:rFonts w:ascii="Calibri" w:cs="Calibri" w:eastAsia="Calibri" w:hAnsi="Calibri"/>
          <w:b/>
          <w:bCs/>
          <w:color w:val="111111"/>
          <w:sz w:val="26"/>
          <w:szCs w:val="26"/>
        </w:rPr>
        <w:t xml:space="preserve">Why the benchmark is hard to displace</w:t>
      </w:r>
    </w:p>
    <w:p>
      <w:pPr>
        <w:spacing w:after="160" w:line="320"/>
        <w:jc w:val="both"/>
      </w:pPr>
      <w:r>
        <w:t xml:space="preserve">Research question one asked whether the networks lower out-of-sample error against GARCH(1,1), EGARCH and HAR-RV. Against the conditional-variance family the answer is decisive: the Model Confidence Set excludes GARCH, EGARCH and the random walk at p-values of 0.0005 and below. Against HAR-RV it is a qualified no. The networks lower pooled QLIKE by up to 5.4 per cent, but the Diebold–Mariano test does not detect the difference at a p-value of 0.459 and the confidence set retains the benchmark at 0.321. The ordering in Table 4.2 is real; its significance is not.</w:t>
      </w:r>
    </w:p>
    <w:p>
      <w:pPr>
        <w:spacing w:after="160" w:line="320"/>
        <w:jc w:val="both"/>
      </w:pPr>
      <w:r>
        <w:t xml:space="preserve">The reason is a difference in level rather than in timing. HAR-RV is estimated by least squares on the variance scale, so it targets a conditional mean and is close to unbiased for one — its mean forecast is 0.99 times the mean outcome. The networks are estimated on the logarithm of realised variance and returned to it by a retransformation carrying a single global residual variance, which leaves them near the conditional median: their mean forecasts are 0.85 and 0.86 times the mean outcome. On a target as right-skewed as realised variance the median sits well below the mean, and QLIKE penalises under-prediction more heavily than over-prediction (Patton, 2011). HAR-RV's upward bias is therefore an asset under this loss rather than an accident of fit, and Table 5.1 locates it.</w:t>
      </w:r>
    </w:p>
    <w:p>
      <w:pPr>
        <w:pStyle w:val="Caption"/>
        <w:keepNext/>
      </w:pPr>
      <w:r>
        <w:t xml:space="preserve">Table 5.1  Median forecast divided by realised variance, by the state known at the forecast origin, with the share of calm days on which the forecast falls below the outcome. Computed from the same published forecasts as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950"/>
        <w:gridCol w:w="1400"/>
        <w:gridCol w:w="1876"/>
      </w:tblGrid>
      <w:tr>
        <w:trPr>
          <w:cantSplit/>
          <w:tblHeader/>
        </w:trPr>
        <w:tc>
          <w:tcPr>
            <w:tcW w:type="dxa" w:w="23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Model</w:t>
            </w:r>
          </w:p>
        </w:tc>
        <w:tc>
          <w:tcPr>
            <w:tcW w:type="dxa" w:w="15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Calm (379)</w:t>
            </w:r>
          </w:p>
        </w:tc>
        <w:tc>
          <w:tcPr>
            <w:tcW w:type="dxa" w:w="195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Transitional (329)</w:t>
            </w:r>
          </w:p>
        </w:tc>
        <w:tc>
          <w:tcPr>
            <w:tcW w:type="dxa" w:w="1400"/>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Crisis (76)</w:t>
            </w:r>
          </w:p>
        </w:tc>
        <w:tc>
          <w:tcPr>
            <w:tcW w:type="dxa" w:w="1876"/>
            <w:tcBorders>
              <w:top w:val="single" w:color="111111" w:sz="4"/>
              <w:left w:val="none" w:color="FFFFFF" w:sz="0"/>
              <w:bottom w:val="single" w:color="111111" w:sz="4"/>
              <w:right w:val="none" w:color="FFFFFF" w:sz="0"/>
            </w:tcBorders>
            <w:shd w:fill="F2F2F2" w:color="auto" w:val="clear"/>
            <w:tcMar>
              <w:top w:type="dxa" w:w="70"/>
              <w:left w:type="dxa" w:w="110"/>
              <w:bottom w:type="dxa" w:w="70"/>
              <w:right w:type="dxa" w:w="110"/>
            </w:tcMar>
          </w:tcPr>
          <w:p>
            <w:pPr>
              <w:spacing w:after="0" w:line="260"/>
            </w:pPr>
            <w:r>
              <w:rPr>
                <w:rFonts w:ascii="Calibri" w:cs="Calibri" w:eastAsia="Calibri" w:hAnsi="Calibri"/>
                <w:b/>
                <w:bCs/>
                <w:color w:val="111111"/>
                <w:sz w:val="18"/>
                <w:szCs w:val="18"/>
              </w:rPr>
              <w:t xml:space="preserve">Under-predicted, calm</w:t>
            </w:r>
          </w:p>
        </w:tc>
      </w:tr>
      <w:tr>
        <w:trPr>
          <w:cantSplit/>
          <w:tblHeader w:val="false"/>
        </w:trPr>
        <w:tc>
          <w:tcPr>
            <w:tcW w:type="dxa" w:w="2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HAR-RV</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1.663</w:t>
            </w:r>
          </w:p>
        </w:tc>
        <w:tc>
          <w:tcPr>
            <w:tcW w:type="dxa" w:w="19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1.489</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1.392</w:t>
            </w:r>
          </w:p>
        </w:tc>
        <w:tc>
          <w:tcPr>
            <w:tcW w:type="dxa" w:w="187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25.9%</w:t>
            </w:r>
          </w:p>
        </w:tc>
      </w:tr>
      <w:tr>
        <w:trPr>
          <w:cantSplit/>
          <w:tblHeader w:val="false"/>
        </w:trPr>
        <w:tc>
          <w:tcPr>
            <w:tcW w:type="dxa" w:w="2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LSTM-RVonly</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1.296</w:t>
            </w:r>
          </w:p>
        </w:tc>
        <w:tc>
          <w:tcPr>
            <w:tcW w:type="dxa" w:w="19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1.438</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1.407</w:t>
            </w:r>
          </w:p>
        </w:tc>
        <w:tc>
          <w:tcPr>
            <w:tcW w:type="dxa" w:w="187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39.1%</w:t>
            </w:r>
          </w:p>
        </w:tc>
      </w:tr>
      <w:tr>
        <w:trPr>
          <w:cantSplit/>
          <w:tblHeader w:val="false"/>
        </w:trPr>
        <w:tc>
          <w:tcPr>
            <w:tcW w:type="dxa" w:w="2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LSTM</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1.143</w:t>
            </w:r>
          </w:p>
        </w:tc>
        <w:tc>
          <w:tcPr>
            <w:tcW w:type="dxa" w:w="19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1.355</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1.315</w:t>
            </w:r>
          </w:p>
        </w:tc>
        <w:tc>
          <w:tcPr>
            <w:tcW w:type="dxa" w:w="187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43.0%</w:t>
            </w:r>
          </w:p>
        </w:tc>
      </w:tr>
      <w:tr>
        <w:trPr>
          <w:cantSplit/>
          <w:tblHeader w:val="false"/>
        </w:trPr>
        <w:tc>
          <w:tcPr>
            <w:tcW w:type="dxa" w:w="23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Regime-LSTM-B</w:t>
            </w:r>
          </w:p>
        </w:tc>
        <w:tc>
          <w:tcPr>
            <w:tcW w:type="dxa" w:w="15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1.159</w:t>
            </w:r>
          </w:p>
        </w:tc>
        <w:tc>
          <w:tcPr>
            <w:tcW w:type="dxa" w:w="195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1.282</w:t>
            </w:r>
          </w:p>
        </w:tc>
        <w:tc>
          <w:tcPr>
            <w:tcW w:type="dxa" w:w="1400"/>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1.164</w:t>
            </w:r>
          </w:p>
        </w:tc>
        <w:tc>
          <w:tcPr>
            <w:tcW w:type="dxa" w:w="1876"/>
            <w:tcBorders>
              <w:top w:val="none" w:color="FFFFFF" w:sz="0"/>
              <w:left w:val="none" w:color="FFFFFF" w:sz="0"/>
              <w:bottom w:val="single" w:color="BFBFBF" w:sz="4"/>
              <w:right w:val="none" w:color="FFFFFF" w:sz="0"/>
            </w:tcBorders>
            <w:tcMar>
              <w:top w:type="dxa" w:w="70"/>
              <w:left w:type="dxa" w:w="110"/>
              <w:bottom w:type="dxa" w:w="70"/>
              <w:right w:type="dxa" w:w="110"/>
            </w:tcMar>
          </w:tcPr>
          <w:p>
            <w:pPr>
              <w:spacing w:after="0" w:line="260"/>
            </w:pPr>
            <w:r>
              <w:rPr>
                <w:rFonts w:ascii="Calibri" w:cs="Calibri" w:eastAsia="Calibri" w:hAnsi="Calibri"/>
                <w:b w:val="false"/>
                <w:bCs w:val="false"/>
                <w:color w:val="444444"/>
                <w:sz w:val="18"/>
                <w:szCs w:val="18"/>
              </w:rPr>
              <w:t xml:space="preserve">42.2%</w:t>
            </w:r>
          </w:p>
        </w:tc>
      </w:tr>
    </w:tbl>
    <w:p>
      <w:pPr>
        <w:spacing w:after="160" w:line="320"/>
        <w:jc w:val="both"/>
      </w:pPr>
      <w:r>
        <w:t xml:space="preserve">In the calm state HAR-RV's median forecast is 1.66 times the outcome and it under-predicts on 25.9 per cent of days, while the two networks that also take the daily return sit at 1.14 and 1.16 and under-predict on 43.0 and 42.2 per cent. The realised-volatility-only network falls between them at 1.30 and 39.1 per cent, and it is the one specification that beats HAR-RV in the calm state, at 0.2829 against 0.3008. The size of the cushion, not the architecture, orders the calm state, and it narrows as the market leaves calm — by the transitional state HAR-RV's median is 1.49 against the mixture's 1.28 — which is where Section 5.3 begins.</w:t>
      </w:r>
    </w:p>
    <w:p>
      <w:pPr>
        <w:spacing w:after="160" w:line="320"/>
        <w:jc w:val="both"/>
      </w:pPr>
      <w:r>
        <w:t xml:space="preserve">Read against the literature this is a less disappointing result than it first appears. HAR-RV is not a weak baseline: Corsi's (2009) cascade of daily, weekly and monthly aggregates is a strong prior on a persistent, long-memory target, and Hansen and Lunde (2005) found that none of 330 GARCH-family specifications significantly improved on GARCH(1,1); failing to displace a well-chosen simple model is the norm here, not the exception. Christensen, Siggaard and Veliyev (2023) do report machine learning beating HAR on daily realised volatility; the margin here points the same way without reaching significance on 784 days dominated by one stress episode. Those losses are also measured against a proxy, not the latent variance, so a 5.4 per cent difference in measured loss is not a 5.4 per cent difference in forecast quality.</w:t>
      </w:r>
    </w:p>
    <w:p>
      <w:pPr>
        <w:pStyle w:val="Heading2"/>
        <w:spacing w:after="180" w:before="320"/>
      </w:pPr>
      <w:r>
        <w:rPr>
          <w:rFonts w:ascii="Calibri" w:cs="Calibri" w:eastAsia="Calibri" w:hAnsi="Calibri"/>
          <w:b/>
          <w:bCs/>
          <w:color w:val="111111"/>
          <w:sz w:val="26"/>
          <w:szCs w:val="26"/>
        </w:rPr>
        <w:t xml:space="preserve">Where regime conditioning pays, and why</w:t>
      </w:r>
    </w:p>
    <w:p>
      <w:pPr>
        <w:spacing w:after="160" w:line="320"/>
        <w:jc w:val="both"/>
      </w:pPr>
      <w:r>
        <w:t xml:space="preserve">Research question two asked not whether regime conditioning helps on average but whether the state known at the forecast origin predicts which model will be the more accurate. Pooled, conditioning buys almost nothing — the three regime-conditioned specifications finish within 0.0005 of one another, a margin smaller than the seed spread of Section 5.7. Conditionally it buys a great deal: every network beats HAR-RV in the transitional state, by 18 to 22 per cent and the mixture furthest at 0.1851 against 0.2367, and the Giacomini–White test returns a Wald statistic of 40.13 on three degrees of freedom at 9.99e-09 (Giacomini and White, 2006). Conditioning relocates the advantage rather than raising it.</w:t>
      </w:r>
    </w:p>
    <w:p>
      <w:pPr>
        <w:spacing w:after="160" w:line="320"/>
        <w:jc w:val="both"/>
      </w:pPr>
      <w:r>
        <w:t xml:space="preserve">Where it relocates to follows from what the signal is. The regime path is coarse and persistent by construction — the jump penalty of Nystrup, Lindström and Madsen (2020) buys a mean state duration of 15.1 days — so it can help only where volatility moves faster than a twenty-two-day aggregate adapts. In calm nothing is moving and HAR-RV's cushion is widest; in crisis everything has already moved and every model sits high. The transitional state is the only one in which a stale weighted average is systematically behind, and there the gate can re-weight toward an expert fitted on that behaviour. Section 5.2's cushion narrows in the same place, from 1.66 to 1.49, which is one mechanism seen from two sides.</w:t>
      </w:r>
    </w:p>
    <w:p>
      <w:pPr>
        <w:spacing w:after="160" w:line="320"/>
        <w:jc w:val="both"/>
      </w:pPr>
      <w:r>
        <w:t xml:space="preserve">Two checks establish this as a property of the state, not of a few days inside it. Of the 329 transitional days, 214 — 65.0 per cent — favour the mixture, a sign-test statistic of 5.46, and trimming the most extreme tenth from each tail moves the mean loss difference only from −0.0516 to −0.0466. Of fifteen published per-state tests three reject at five per cent and two survive the Holm correction, both transitional comparisons against HAR-RV, at a smallest adjusted p-value of 6.44e-08.</w:t>
      </w:r>
    </w:p>
    <w:p>
      <w:pPr>
        <w:spacing w:after="160" w:line="320"/>
        <w:jc w:val="both"/>
      </w:pPr>
      <w:r>
        <w:t xml:space="preserve">This is the confrontation Chapter 2 set up. Kılıç (2025) finds regime-switching HAR specifications outperforming deep models under QLIKE on the same target, and on pooled accuracy these results agree: placing the signal inside the network buys no average gain. What they add is that the comparison is state-dependent and the state is observable when the forecast is made, which a pooled ranking cannot express. Blake et al. (2025) report material gains from soft Markov-switching regimes on the same series, but against an autoregressive baseline rather than HAR-RV. Two limits bound the claim: the crisis subsample is 76 days, so its tests are weak, and the state count was fixed rather than selected, the two estimators' criteria disagreeing on the minimum.</w:t>
      </w:r>
    </w:p>
    <w:p>
      <w:pPr>
        <w:pStyle w:val="Heading2"/>
        <w:spacing w:after="180" w:before="320"/>
      </w:pPr>
      <w:r>
        <w:rPr>
          <w:rFonts w:ascii="Calibri" w:cs="Calibri" w:eastAsia="Calibri" w:hAnsi="Calibri"/>
          <w:b/>
          <w:bCs/>
          <w:color w:val="111111"/>
          <w:sz w:val="26"/>
          <w:szCs w:val="26"/>
        </w:rPr>
        <w:t xml:space="preserve">Why the intervals are too narrow and do not adapt</w:t>
      </w:r>
    </w:p>
    <w:p>
      <w:pPr>
        <w:spacing w:after="160" w:line="320"/>
        <w:jc w:val="both"/>
      </w:pPr>
      <w:r>
        <w:t xml:space="preserve">Research question three asked whether the intervals cover at their nominal level and whether their width adapts to the state. Both answers are no. At the ninety per cent level the violation rate runs from 13.4 to 13.6 per cent for the three specifications stating a predictive law and 17.9 for the quantile head, against a nominal ten. The independence test rejects none, at p-values from 0.45 to 0.91, so the bands are the wrong width rather than the wrong shape.</w:t>
      </w:r>
    </w:p>
    <w:p>
      <w:pPr>
        <w:spacing w:after="160" w:line="320"/>
        <w:jc w:val="both"/>
      </w:pPr>
      <w:r>
        <w:t xml:space="preserve">One mechanism produces both failures. The retransformation of Section 3.4 carries a single global residual variance, so the spread a model states cannot move with the state though the dispersion it faces does. Figure 5.1 sets the two beside each other. In the transitional state they agree almost exactly, a stated 0.5965 against a realised 0.5976, and coverage is 89.7 per cent, at nominal within sampling error. In calm the realised dispersion is 0.7230 against the same stated 0.5974 and coverage falls to 83.6 per cent. The failure is concentrated in calm, which is why the constant restoring nominal coverage is 1.24 there against 1.01 and 1.02 elsewhere.</w:t>
      </w:r>
    </w:p>
    <w:p>
      <w:pPr>
        <w:keepNext/>
        <w:ind w:left="0" w:right="0" w:firstLine="0"/>
        <w:jc w:val="center"/>
      </w:pPr>
      <w:r>
        <w:drawing>
          <wp:inline xmlns:a="http://schemas.openxmlformats.org/drawingml/2006/main" xmlns:pic="http://schemas.openxmlformats.org/drawingml/2006/picture">
            <wp:extent cx="5577840" cy="2423160"/>
            <wp:docPr id="1" name="Picture 1"/>
            <wp:cNvGraphicFramePr>
              <a:graphicFrameLocks noChangeAspect="1"/>
            </wp:cNvGraphicFramePr>
            <a:graphic>
              <a:graphicData uri="http://schemas.openxmlformats.org/drawingml/2006/picture">
                <pic:pic>
                  <pic:nvPicPr>
                    <pic:cNvPr id="0" name="fig5_1.png"/>
                    <pic:cNvPicPr/>
                  </pic:nvPicPr>
                  <pic:blipFill>
                    <a:blip r:embed="rId9"/>
                    <a:stretch>
                      <a:fillRect/>
                    </a:stretch>
                  </pic:blipFill>
                  <pic:spPr>
                    <a:xfrm>
                      <a:off x="0" y="0"/>
                      <a:ext cx="5577840" cy="2423160"/>
                    </a:xfrm>
                    <a:prstGeom prst="rect"/>
                  </pic:spPr>
                </pic:pic>
              </a:graphicData>
            </a:graphic>
          </wp:inline>
        </w:drawing>
      </w:r>
    </w:p>
    <w:p>
      <w:pPr>
        <w:pStyle w:val="Caption"/>
      </w:pPr>
      <w:r>
        <w:t xml:space="preserve">Figure 5.1. The spread the combined model states against the dispersion realised, and the coverage that follows, by the state known at the forecast origin. Both are standard deviations of log realised variance; the multiplier beneath each bar restores nominal coverage in that state.</w:t>
      </w:r>
    </w:p>
    <w:p>
      <w:pPr>
        <w:spacing w:after="160" w:line="320"/>
        <w:jc w:val="both"/>
      </w:pPr>
      <w:r>
        <w:t xml:space="preserve">The second clause is answered in the negative by construction. The epistemic component supplies 0.43 per cent of predictive variance, because a single recurrent layer leaves the dropout mask on the output layer alone, so the stochastic passes perturb the head and nothing else. Section 3.5 undertook that this chapter would weigh Gal and Ghahramani's (2016) approximation against whatever under-coverage was found: the approximation is not wrong here, it is inert at this depth. The diagnosis is architectural rather than Bayesian.</w:t>
      </w:r>
    </w:p>
    <w:p>
      <w:pPr>
        <w:spacing w:after="160" w:line="320"/>
        <w:jc w:val="both"/>
      </w:pPr>
      <w:r>
        <w:t xml:space="preserve">The direction of failure is the one the literature predicts: Ovadia et al. (2019) find approximate-Bayesian methods over-confident under distribution shift, which is what a model fitted mostly on calm days meets in a crisis. Song et al. (2025) and Dudek et al. (2025) place quantile intervals on realised volatility; the distribution-free head here is the worst calibrated of the four at 17.9 per cent, so relaxing the parametric law did not buy calibration. Two qualifications attach: coverage is measured against the proxy, not the latent variance, and the crisis state rests on 76 days, so its 88.2 per cent is the least precisely estimated number in the figure.</w:t>
      </w:r>
    </w:p>
    <w:p>
      <w:pPr>
        <w:pStyle w:val="Heading2"/>
        <w:spacing w:after="180" w:before="320"/>
      </w:pPr>
      <w:r>
        <w:rPr>
          <w:rFonts w:ascii="Calibri" w:cs="Calibri" w:eastAsia="Calibri" w:hAnsi="Calibri"/>
          <w:b/>
          <w:bCs/>
          <w:color w:val="111111"/>
          <w:sz w:val="26"/>
          <w:szCs w:val="26"/>
        </w:rPr>
        <w:t xml:space="preserve">What transfers, and what the transfer test measured</w:t>
      </w:r>
    </w:p>
    <w:p>
      <w:pPr>
        <w:spacing w:after="160" w:line="320"/>
        <w:jc w:val="both"/>
      </w:pPr>
      <w:r>
        <w:t xml:space="preserve">Research question four asked whether the first three answers are properties of the method or of the market it was developed on. The conditional finding of Section 5.3 reproduces on the Russell 2000, where the test rejects at 0.0087, and not on the FTSE 100, where it returns 0.254. The reading is not the obvious one: the asset on which the replication succeeds is the one whose realised measure is mismeasured, making the FTSE 100 the cleaner test.</w:t>
      </w:r>
    </w:p>
    <w:p>
      <w:pPr>
        <w:spacing w:after="160" w:line="320"/>
        <w:jc w:val="both"/>
      </w:pPr>
      <w:r>
        <w:t xml:space="preserve">Over each asset's own block the variance of the open-to-close return divided by the mean realised variance is 0.90 on the S&amp;P 500 and 1.17 on the FTSE 100, but 2.01 on the Russell 2000, where a realised measure should exceed that return's square, not halve it. Non-synchronous trading in a two-thousand-constituent small-capitalisation index at five-minute sampling is the documented cause (Liu, Patton and Sheppard, 2015), and it is why the conditional-variance baselines collapse there while models reading the same series improve.</w:t>
      </w:r>
    </w:p>
    <w:p>
      <w:pPr>
        <w:spacing w:after="160" w:line="320"/>
        <w:jc w:val="both"/>
      </w:pPr>
      <w:r>
        <w:t xml:space="preserve">A second reservation applies to both assets. The state model is re-estimated per asset, so the label does not carry the same meaning across them: the transitional state holds 329 of 784 days on the S&amp;P 500 and 339 of 795 on the FTSE 100, but 474 of 788 on the Russell 2000. A test conditioned on the transitional state is therefore not the same test on each asset, which bounds what a replication can establish: the direction replicates, the magnitude does not, the out-of-market effect being about a third of the S&amp;P 500's.</w:t>
      </w:r>
    </w:p>
    <w:p>
      <w:pPr>
        <w:pStyle w:val="Heading2"/>
        <w:spacing w:after="180" w:before="320"/>
      </w:pPr>
      <w:r>
        <w:rPr>
          <w:rFonts w:ascii="Calibri" w:cs="Calibri" w:eastAsia="Calibri" w:hAnsi="Calibri"/>
          <w:b/>
          <w:bCs/>
          <w:color w:val="111111"/>
          <w:sz w:val="26"/>
          <w:szCs w:val="26"/>
        </w:rPr>
        <w:t xml:space="preserve">Position against the closest prior work</w:t>
      </w:r>
    </w:p>
    <w:p>
      <w:pPr>
        <w:spacing w:after="160" w:line="320"/>
        <w:jc w:val="both"/>
      </w:pPr>
      <w:r>
        <w:t xml:space="preserve">Chapter 2 identified the gap as one of integration and Table 2.1 fixed its boundary: fifteen studies, each occupying part of this pipeline and none the whole of it. What integration bought divides: it composes on the point layer and fails on the uncertainty layer. The combined specification leads every interval criterion among the four that emit a predictive distribution, and its violation rate of 13.4 per cent is the lowest of the three that state a predictive law. The other two sit at 13.5 and 13.7 against a nominal ten, so what integration buys is a rank within a shared failure rather than calibration.</w:t>
      </w:r>
    </w:p>
    <w:p>
      <w:pPr>
        <w:spacing w:after="160" w:line="320"/>
        <w:jc w:val="both"/>
      </w:pPr>
      <w:r>
        <w:t xml:space="preserve">Isik and Yalcinkaya (2026) show the full stack composing end to end outside finance, on wind power; its financial instantiation composes on accuracy and not on calibration, which locates the difficulty in the target rather than the architecture. Gunnarsson et al. (2024) named probabilistic, uncertainty-aware machine learning as the open direction for realised volatility; occupying it suggests that direction is harder than the framing implies, the binding constraint being where the dropout mask sits rather than which method is chosen. Kim and Won (2018) and Bucci (2020) forecast different targets at different horizons, so their figures are not commensurable with these and are not quoted against them.</w:t>
      </w:r>
    </w:p>
    <w:p>
      <w:pPr>
        <w:spacing w:after="160" w:line="320"/>
        <w:jc w:val="both"/>
      </w:pPr>
      <w:r>
        <w:t xml:space="preserve">The contribution is narrower and more specific than the framing anticipated: the value of the regime signal on this target is conditional rather than average, and measurable before the forecast is made. Chapter 2 committed in advance to reporting a null as readily as a headline, and three of the four findings here are nulls or qualified nulls; that commitment is what makes the fourth worth anything.</w:t>
      </w:r>
    </w:p>
    <w:p>
      <w:pPr>
        <w:pStyle w:val="Heading2"/>
        <w:spacing w:after="180" w:before="320"/>
      </w:pPr>
      <w:r>
        <w:rPr>
          <w:rFonts w:ascii="Calibri" w:cs="Calibri" w:eastAsia="Calibri" w:hAnsi="Calibri"/>
          <w:b/>
          <w:bCs/>
          <w:color w:val="111111"/>
          <w:sz w:val="26"/>
          <w:szCs w:val="26"/>
        </w:rPr>
        <w:t xml:space="preserve">The confidence these findings can carry</w:t>
      </w:r>
    </w:p>
    <w:p>
      <w:pPr>
        <w:spacing w:after="160" w:line="320"/>
        <w:jc w:val="both"/>
      </w:pPr>
      <w:r>
        <w:t xml:space="preserve">The conditional finding of Section 5.3 is the robust claim here: it rests on 329 days, survives trimming and a change of state estimator, and carries a p-value below 1e-08. The pooled ordering of Table 4.2 is not robust at all. Across five random initialisations the mixture's own standard deviation is 0.0062 and its range 0.0164, against a published margin of 0.0025, and on the five-seed mean the ordering reverses. Reproducible is not robust: the published seed reproduces its fits to within 6e-17, a statement about determinism, not about which model is better.</w:t>
      </w:r>
    </w:p>
    <w:p>
      <w:pPr>
        <w:spacing w:after="160" w:line="320"/>
        <w:jc w:val="both"/>
      </w:pPr>
      <w:r>
        <w:t xml:space="preserve">Three declarations bound the rest. The penalty grid, its floor and the selection rule were fixed before any result existed; the feature set and the state-count grid were not, so those two choices carry researcher degrees of freedom the design does not close. The regime result is re-run on a second state estimator, but both share a Gaussian-emission family, so a dependence on that family would not show up here. And the crisis state rests on 76 days, which is why no claim in this chapter turns on it alone.</w:t>
      </w:r>
    </w:p>
    <w:p>
      <w:pPr>
        <w:spacing w:after="160" w:line="320"/>
        <w:jc w:val="both"/>
      </w:pPr>
      <w:r>
        <w:t xml:space="preserve">Two limits are structural. Every loss and test is computed against realised variance, an estimate of an unobservable, so a coverage figure describes how often the interval contains the proxy rather than the truth. And the evaluation windows of the three assets overlap, so agreement across them is not independent evidence. One practical caveat belongs beside these: rebuilding an artefact under a different interpreter version was found to disagree materially with the committed one, which is why the lock file is part of the specification.</w:t>
      </w:r>
    </w:p>
    <w:p>
      <w:pPr>
        <w:pStyle w:val="Heading2"/>
        <w:spacing w:after="180" w:before="320"/>
      </w:pPr>
      <w:r>
        <w:rPr>
          <w:rFonts w:ascii="Calibri" w:cs="Calibri" w:eastAsia="Calibri" w:hAnsi="Calibri"/>
          <w:b/>
          <w:bCs/>
          <w:color w:val="111111"/>
          <w:sz w:val="26"/>
          <w:szCs w:val="26"/>
        </w:rPr>
        <w:t xml:space="preserve">Implications for risk management, and the ethical position</w:t>
      </w:r>
    </w:p>
    <w:p>
      <w:pPr>
        <w:spacing w:after="160" w:line="320"/>
        <w:jc w:val="both"/>
      </w:pPr>
      <w:r>
        <w:t xml:space="preserve">For a desk the point and interval results carry opposite messages. On average loss there is no case for replacing HAR-RV with a network. But the state is known at the forecast origin and is filtered rather than smoothed, so selecting between the two on that state is implementable rather than hypothetical, and worth 18 to 22 per cent of QLIKE where it applies.</w:t>
      </w:r>
    </w:p>
    <w:p>
      <w:pPr>
        <w:spacing w:after="160" w:line="320"/>
        <w:jc w:val="both"/>
      </w:pPr>
      <w:r>
        <w:t xml:space="preserve">The interval result is the operationally serious one. A ninety per cent band realising 86.6 per cent, its upper tail violated on 8.3 per cent of days against an expected five, understates the loss side of a variance forecast — the side that sets capital — and that cost falls on whoever bears the exposure, not on whoever fits the model. A global scale of 1.11 restores nominal coverage, but the constant is 1.24 in calm against 1.01 and 1.02 elsewhere, so a deployed system would need the state-conditional version.</w:t>
      </w:r>
    </w:p>
    <w:p>
      <w:pPr>
        <w:spacing w:after="160" w:line="320"/>
        <w:jc w:val="both"/>
      </w:pPr>
      <w:r>
        <w:t xml:space="preserve">Deployment is otherwise undemanding: 13.9 minutes on four processor cores, 390 megabytes, no accelerator. The binding constraint is a maintained intraday feed, the library used here having been discontinued in February 2022, and the frozen protocol costs about 1.6 per cent, which prices the refit cadence.</w:t>
      </w:r>
    </w:p>
    <w:p>
      <w:pPr>
        <w:spacing w:after="160" w:line="320"/>
        <w:jc w:val="both"/>
      </w:pPr>
      <w:r>
        <w:t xml:space="preserve">The ethical position of Section 3.10 extends in two directions. The mixture's gate is inspectable at the forecast origin, so a user can see which expert produced a number — which matters where a model informs regulatory capital. And reporting the seed sensitivity is part of the position: a published ranking that a change of seed reverses would mislead a reader who cannot see the spread.</w:t>
      </w:r>
    </w:p>
    <w:p>
      <w:pPr>
        <w:pStyle w:val="Heading2"/>
        <w:spacing w:after="180" w:before="320"/>
      </w:pPr>
      <w:r>
        <w:rPr>
          <w:rFonts w:ascii="Calibri" w:cs="Calibri" w:eastAsia="Calibri" w:hAnsi="Calibri"/>
          <w:b/>
          <w:bCs/>
          <w:color w:val="111111"/>
          <w:sz w:val="26"/>
          <w:szCs w:val="26"/>
        </w:rPr>
        <w:t xml:space="preserve">Summary</w:t>
      </w:r>
    </w:p>
    <w:p>
      <w:pPr>
        <w:spacing w:after="160" w:line="320"/>
        <w:jc w:val="both"/>
      </w:pPr>
      <w:r>
        <w:t xml:space="preserve">Four findings, one thread. The networks displace the conditional-variance family decisively and HAR-RV not at all, because HAR-RV's upward bias in calm is an asset under QLIKE rather than a defect. Regime conditioning relocates the advantage to the transitional state rather than raising it, predictably enough to be acted on. The intervals fail in level and not in shape, concentrated in calm for the same reason the point loss is. The conjunction reproduces on a second index in the same session and not on a second market. Chapter 6 returns to the objectives of Section 1.5.</w:t>
      </w:r>
    </w:p>
    <w:p>
      <w:pPr>
        <w:pStyle w:val="Heading1"/>
        <w:spacing w:after="180" w:before="320"/>
      </w:pPr>
      <w:r>
        <w:rPr>
          <w:rFonts w:ascii="Calibri" w:cs="Calibri" w:eastAsia="Calibri" w:hAnsi="Calibri"/>
          <w:b/>
          <w:bCs/>
          <w:color w:val="111111"/>
          <w:sz w:val="30"/>
          <w:szCs w:val="30"/>
        </w:rPr>
        <w:t xml:space="preserve">References</w:t>
      </w:r>
    </w:p>
    <w:p>
      <w:pPr>
        <w:spacing w:after="160" w:line="320" w:lineRule="auto"/>
        <w:ind w:left="567" w:hanging="567"/>
        <w:jc w:val="left"/>
      </w:pPr>
      <w:r>
        <w:t xml:space="preserve">Blake, A.C., Gandhi, N.A. and Jakkula, A.R., 2025. Improving S&amp;P 500 volatility forecasting through regime-switching methods. arXiv preprint arXiv:2510.03236. https://doi.org/10.48550/arXiv.2510.03236</w:t>
      </w:r>
    </w:p>
    <w:p>
      <w:pPr>
        <w:spacing w:after="160" w:line="320" w:lineRule="auto"/>
        <w:ind w:left="567" w:hanging="567"/>
        <w:jc w:val="left"/>
      </w:pPr>
      <w:r>
        <w:t xml:space="preserve">Bucci, A., 2020. Realized volatility forecasting with neural networks. Journal of Financial Econometrics, 18(3), pp.502–531. https://doi.org/10.1093/jjfinec/nbaa008</w:t>
      </w:r>
    </w:p>
    <w:p>
      <w:pPr>
        <w:spacing w:after="160" w:line="320" w:lineRule="auto"/>
        <w:ind w:left="567" w:hanging="567"/>
        <w:jc w:val="left"/>
      </w:pPr>
      <w:r>
        <w:t xml:space="preserve">Christensen, K., Siggaard, M. and Veliyev, B., 2023. A machine learning approach to volatility forecasting. Journal of Financial Econometrics, 21(5), pp.1680–1727. https://doi.org/10.1093/jjfinec/nbac020</w:t>
      </w:r>
    </w:p>
    <w:p>
      <w:pPr>
        <w:spacing w:after="160" w:line="320" w:lineRule="auto"/>
        <w:ind w:left="567" w:hanging="567"/>
        <w:jc w:val="left"/>
      </w:pPr>
      <w:r>
        <w:t xml:space="preserve">Corsi, F., 2009. A simple approximate long-memory model of realized volatility. Journal of Financial Econometrics, 7(2), pp.174–196. https://doi.org/10.1093/jjfinec/nbp001</w:t>
      </w:r>
    </w:p>
    <w:p>
      <w:pPr>
        <w:spacing w:after="160" w:line="320" w:lineRule="auto"/>
        <w:ind w:left="567" w:hanging="567"/>
        <w:jc w:val="left"/>
      </w:pPr>
      <w:r>
        <w:t xml:space="preserve">Dudek, G., Orzeszko, W. and Fiszeder, P., 2025. Probabilistic forecasting cryptocurrencies volatility: from point to quantile forecasts. arXiv preprint arXiv:2508.15922. https://doi.org/10.48550/arXiv.2508.15922</w:t>
      </w:r>
    </w:p>
    <w:p>
      <w:pPr>
        <w:spacing w:after="160" w:line="320" w:lineRule="auto"/>
        <w:ind w:left="567" w:hanging="567"/>
        <w:jc w:val="left"/>
      </w:pPr>
      <w:r>
        <w:t xml:space="preserve">Gal, Y. and Ghahramani, Z., 2016. Dropout as a Bayesian approximation: representing model uncertainty in deep learning. In: Proceedings of the 33rd International Conference on Machine Learning (ICML), New York, USA, 19–24 June 2016. PMLR 48, pp.1050–1059.</w:t>
      </w:r>
    </w:p>
    <w:p>
      <w:pPr>
        <w:spacing w:after="160" w:line="320" w:lineRule="auto"/>
        <w:ind w:left="567" w:hanging="567"/>
        <w:jc w:val="left"/>
      </w:pPr>
      <w:r>
        <w:t xml:space="preserve">Giacomini, R. and White, H., 2006. Tests of conditional predictive ability. Econometrica, 74(6), pp.1545–1578. https://doi.org/10.1111/j.1468-0262.2006.00718.x</w:t>
      </w:r>
    </w:p>
    <w:p>
      <w:pPr>
        <w:spacing w:after="160" w:line="320" w:lineRule="auto"/>
        <w:ind w:left="567" w:hanging="567"/>
        <w:jc w:val="left"/>
      </w:pPr>
      <w:r>
        <w:t xml:space="preserve">Gunnarsson, E.S., Isern, H.R., Kaloudis, A., Risstad, M., Vigdel, B. and Westgaard, S., 2024. Prediction of realized volatility and implied volatility indices using AI and machine learning: a review. International Review of Financial Analysis, 93, 103221. https://doi.org/10.1016/j.irfa.2024.103221</w:t>
      </w:r>
    </w:p>
    <w:p>
      <w:pPr>
        <w:spacing w:after="160" w:line="320" w:lineRule="auto"/>
        <w:ind w:left="567" w:hanging="567"/>
        <w:jc w:val="left"/>
      </w:pPr>
      <w:r>
        <w:t xml:space="preserve">Hansen, P.R. and Lunde, A., 2005. A forecast comparison of volatility models: does anything beat a GARCH(1,1)? Journal of Applied Econometrics, 20(7), pp.873–889. https://doi.org/10.1002/jae.800</w:t>
      </w:r>
    </w:p>
    <w:p>
      <w:pPr>
        <w:spacing w:after="160" w:line="320" w:lineRule="auto"/>
        <w:ind w:left="567" w:hanging="567"/>
        <w:jc w:val="left"/>
      </w:pPr>
      <w:r>
        <w:t xml:space="preserve">Isik, M. and Yalcinkaya, M.A., 2026. Integrated regime-aware wind power forecasting using multi-altitude meteorological features and hybrid machine learning. Frontiers in Energy Research, 13, 1686125. https://doi.org/10.3389/fenrg.2025.1686125</w:t>
      </w:r>
    </w:p>
    <w:p>
      <w:pPr>
        <w:spacing w:after="160" w:line="320" w:lineRule="auto"/>
        <w:ind w:left="567" w:hanging="567"/>
        <w:jc w:val="left"/>
      </w:pPr>
      <w:r>
        <w:t xml:space="preserve">Kılıç, R., 2025. Linear and nonlinear econometric models against machine learning models: realized volatility prediction. Finance and Economics Discussion Series 2025-061. Board of Governors of the Federal Reserve System. https://doi.org/10.17016/FEDS.2025.061</w:t>
      </w:r>
    </w:p>
    <w:p>
      <w:pPr>
        <w:spacing w:after="160" w:line="320" w:lineRule="auto"/>
        <w:ind w:left="567" w:hanging="567"/>
        <w:jc w:val="left"/>
      </w:pPr>
      <w:r>
        <w:t xml:space="preserve">Kim, H.Y. and Won, C.H., 2018. Forecasting the volatility of stock price index: a hybrid model integrating LSTM with multiple GARCH-type models. Expert Systems with Applications, 103, pp.25–37. https://doi.org/10.1016/j.eswa.2018.03.002</w:t>
      </w:r>
    </w:p>
    <w:p>
      <w:pPr>
        <w:spacing w:after="160" w:line="320" w:lineRule="auto"/>
        <w:ind w:left="567" w:hanging="567"/>
        <w:jc w:val="left"/>
      </w:pPr>
      <w:r>
        <w:t xml:space="preserve">Liu, L.Y., Patton, A.J. and Sheppard, K., 2015. Does anything beat 5-minute RV? A comparison of realized measures across multiple asset classes. Journal of Econometrics, 187(1), pp.293–311. https://doi.org/10.1016/j.jeconom.2015.02.008</w:t>
      </w:r>
    </w:p>
    <w:p>
      <w:pPr>
        <w:spacing w:after="160" w:line="320" w:lineRule="auto"/>
        <w:ind w:left="567" w:hanging="567"/>
        <w:jc w:val="left"/>
      </w:pPr>
      <w:r>
        <w:t xml:space="preserve">Nystrup, P., Lindström, E. and Madsen, H., 2020. Learning hidden Markov models with persistent states by penalizing jumps. Expert Systems with Applications, 150, 113307. https://doi.org/10.1016/j.eswa.2020.113307</w:t>
      </w:r>
    </w:p>
    <w:p>
      <w:pPr>
        <w:spacing w:after="160" w:line="320" w:lineRule="auto"/>
        <w:ind w:left="567" w:hanging="567"/>
        <w:jc w:val="left"/>
      </w:pPr>
      <w:r>
        <w:t xml:space="preserve">Ovadia, Y., Fertig, E., Ren, J., Nado, Z., Sculley, D., Nowozin, S., Dillon, J.V., Lakshminarayanan, B. and Snoek, J., 2019. Can you trust your model’s uncertainty? Evaluating predictive uncertainty under dataset shift. In: Advances in Neural Information Processing Systems 32 (NeurIPS 2019).</w:t>
      </w:r>
    </w:p>
    <w:p>
      <w:pPr>
        <w:spacing w:after="160" w:line="320" w:lineRule="auto"/>
        <w:ind w:left="567" w:hanging="567"/>
        <w:jc w:val="left"/>
      </w:pPr>
      <w:r>
        <w:t xml:space="preserve">Patton, A.J., 2011. Volatility forecast comparison using imperfect volatility proxies. Journal of Econometrics, 160(1), pp.246–256. https://doi.org/10.1016/j.jeconom.2010.03.034</w:t>
      </w:r>
    </w:p>
    <w:p>
      <w:pPr>
        <w:spacing w:after="160" w:line="320" w:lineRule="auto"/>
        <w:ind w:left="567" w:hanging="567"/>
        <w:jc w:val="left"/>
      </w:pPr>
      <w:r>
        <w:t xml:space="preserve">Song, J., Lee, H., Lee, J. and Chang, W., 2025. Forecasting realized volatility using deep learning quantile function. Applied Soft Computing, 175, 113016. https://doi.org/10.1016/j.asoc.2025.113016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aption">
    <w:name w:val="caption"/>
    <w:uiPriority w:val="35"/>
    <w:unhideWhenUsed/>
    <w:qFormat/>
    <w:pPr>
      <w:spacing w:after="200" w:line="240" w:lineRule="auto"/>
    </w:pPr>
    <w:rPr>
      <w:i/>
      <w:iCs/>
      <w:color w:val="44546A"/>
      <w:sz w:val="18"/>
      <w:szCs w:val="1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c021c43aaddbbffb2eec793cfdff615a93a8dc8.png"/><Relationship Id="rId8" Type="http://schemas.openxmlformats.org/officeDocument/2006/relationships/fontTable" Target="fontTable.xml"/><Relationship Id="rId9" Type="http://schemas.openxmlformats.org/officeDocument/2006/relationships/image" Target="media/image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Methodology</dc:title>
  <dc:creator>MSc Dissertation</dc:creator>
  <cp:lastModifiedBy>Un-named</cp:lastModifiedBy>
  <cp:revision>1</cp:revision>
  <dcterms:created xsi:type="dcterms:W3CDTF">2026-08-31T21:15:36.745Z</dcterms:created>
  <dcterms:modified xsi:type="dcterms:W3CDTF">2026-08-31T21:15:36.745Z</dcterms:modified>
</cp:coreProperties>
</file>

<file path=docProps/custom.xml><?xml version="1.0" encoding="utf-8"?>
<Properties xmlns="http://schemas.openxmlformats.org/officeDocument/2006/custom-properties" xmlns:vt="http://schemas.openxmlformats.org/officeDocument/2006/docPropsVTypes"/>
</file>