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20"/>
      </w:pPr>
      <w:r>
        <w:rPr>
          <w:rFonts w:ascii="Calibri" w:cs="Calibri" w:eastAsia="Calibri" w:hAnsi="Calibri"/>
          <w:b/>
          <w:bCs/>
          <w:color w:val="111111"/>
          <w:sz w:val="30"/>
          <w:szCs w:val="30"/>
        </w:rPr>
        <w:t xml:space="preserve">Conclusion</w:t>
      </w:r>
    </w:p>
    <w:p>
      <w:pPr>
        <w:pStyle w:val="Heading2"/>
        <w:spacing w:after="180" w:before="320"/>
      </w:pPr>
      <w:r>
        <w:rPr>
          <w:rFonts w:ascii="Calibri" w:cs="Calibri" w:eastAsia="Calibri" w:hAnsi="Calibri"/>
          <w:b/>
          <w:bCs/>
          <w:color w:val="111111"/>
          <w:sz w:val="26"/>
          <w:szCs w:val="26"/>
        </w:rPr>
        <w:t xml:space="preserve">The problem and the approach taken</w:t>
      </w:r>
    </w:p>
    <w:p>
      <w:pPr>
        <w:spacing w:after="160" w:line="320"/>
        <w:jc w:val="both"/>
      </w:pPr>
      <w:r>
        <w:t xml:space="preserve">Volatility forecasts price derivatives, calibrate value-at-risk models and set the capital banks hold against trading exposures; their characteristic failure is to understate risk through a regime shift, when the forecast matters most. Chapter 1 identified the gap that follows: regime-switching econometrics, deep learning for volatility and Bayesian deep learning have each built substantial literatures but had not been integrated into one validated pipeline for daily realised volatility, benchmarked against both families of baseline. This dissertation built that pipeline — a jump-penalised regime signal feeding two regime-conditioned recurrent architectures and two uncertainty layers — and evaluated it on 784 held-out days of S&amp;P 500 realised variance under proxy-robust losses, with a reduced replication on two further indices.</w:t>
      </w:r>
    </w:p>
    <w:p>
      <w:pPr>
        <w:pStyle w:val="Heading2"/>
        <w:spacing w:after="180" w:before="320"/>
      </w:pPr>
      <w:r>
        <w:rPr>
          <w:rFonts w:ascii="Calibri" w:cs="Calibri" w:eastAsia="Calibri" w:hAnsi="Calibri"/>
          <w:b/>
          <w:bCs/>
          <w:color w:val="111111"/>
          <w:sz w:val="26"/>
          <w:szCs w:val="26"/>
        </w:rPr>
        <w:t xml:space="preserve">The objectives, and what each achieved</w:t>
      </w:r>
    </w:p>
    <w:p>
      <w:pPr>
        <w:spacing w:after="160" w:line="320"/>
        <w:jc w:val="both"/>
      </w:pPr>
      <w:r>
        <w:t xml:space="preserve">Objectives (i) and (ii) were the instruments of the first research question: three econometric baselines and a reference floor were benchmarked, and a recurrent network developed on a matched information set with two ablations. The Model Confidence Set excludes GARCH, EGARCH and the random walk at 0.0005 and below and retains HAR-RV at 0.321: the networks displace the conditional-variance family decisively and the benchmark not at all. The ablation did the attributing work the objective was set for: the realised-volatility-only network, reading strictly less history than HAR-RV, leads on the primary loss, so what advantage exists belongs to the architecture, not the extra return feature.</w:t>
      </w:r>
    </w:p>
    <w:p>
      <w:pPr>
        <w:spacing w:after="160" w:line="320"/>
        <w:jc w:val="both"/>
      </w:pPr>
      <w:r>
        <w:t xml:space="preserve">Objective (iii) was the instrument of the second. A jump-penalised hidden Markov model supplied a filtered, causal state signal and two architectures conditioned on it. The Giacomini–White test returns 40.13 on three degrees of freedom at 9.99e-09: the state known when the forecast is made predicts which model will be more accurate, and the advantage concentrates in the transitional state, where every network leads HAR-RV by 18 to 22 per cent.</w:t>
      </w:r>
    </w:p>
    <w:p>
      <w:pPr>
        <w:spacing w:after="160" w:line="320"/>
        <w:jc w:val="both"/>
      </w:pPr>
      <w:r>
        <w:t xml:space="preserve">Objective (iv) was the instrument of the third: Monte Carlo dropout and quantile regression were implemented and scored on coverage, width and proper scores. None of the four is calibrated, violation rates running from 13.4 to 17.9 per cent against a nominal ten, and the width does not adapt to the state. The objective was to evaluate sharpness and calibration rather than achieve them, and a negative answer honestly obtained discharges it.</w:t>
      </w:r>
    </w:p>
    <w:p>
      <w:pPr>
        <w:pStyle w:val="Heading2"/>
        <w:spacing w:after="180" w:before="320"/>
      </w:pPr>
      <w:r>
        <w:rPr>
          <w:rFonts w:ascii="Calibri" w:cs="Calibri" w:eastAsia="Calibri" w:hAnsi="Calibri"/>
          <w:b/>
          <w:bCs/>
          <w:color w:val="111111"/>
          <w:sz w:val="26"/>
          <w:szCs w:val="26"/>
        </w:rPr>
        <w:t xml:space="preserve">The contribution</w:t>
      </w:r>
    </w:p>
    <w:p>
      <w:pPr>
        <w:spacing w:after="160" w:line="320"/>
        <w:jc w:val="both"/>
      </w:pPr>
      <w:r>
        <w:t xml:space="preserve">Three things are now known that were not. First, on daily realised volatility the value of a regime signal is conditional rather than average and measurable before the forecast is made, which a pooled ranking cannot express. Second, the benchmark resists displacement under a ratio loss for a reason of level, not dynamics: fitted in levels it is close to unbiased for a conditional mean, while a network fitted in logs and retransformed with one global variance sits near the median, which the loss punishes. Third, composing regime conditioning with an uncertainty layer improves the ranking of the interval criteria without improving calibration, the binding constraint being where the dropout mask sits.</w:t>
      </w:r>
    </w:p>
    <w:p>
      <w:pPr>
        <w:pStyle w:val="Heading2"/>
        <w:spacing w:after="180" w:before="320"/>
      </w:pPr>
      <w:r>
        <w:rPr>
          <w:rFonts w:ascii="Calibri" w:cs="Calibri" w:eastAsia="Calibri" w:hAnsi="Calibri"/>
          <w:b/>
          <w:bCs/>
          <w:color w:val="111111"/>
          <w:sz w:val="26"/>
          <w:szCs w:val="26"/>
        </w:rPr>
        <w:t xml:space="preserve">What the findings do not establish</w:t>
      </w:r>
    </w:p>
    <w:p>
      <w:pPr>
        <w:spacing w:after="160" w:line="320"/>
        <w:jc w:val="both"/>
      </w:pPr>
      <w:r>
        <w:t xml:space="preserve">These findings belong to one index, one frequency and 784 days dominated by a single stress episode. The pooled ordering among the leading specifications is not resolved by this evidence: the spread across initialisations exceeds the published margin, and a change of seed reverses it. Coverage is measured against realised variance, itself an estimate of an unobservable, and the transfer assets' windows overlap the primary one, so agreement across them is not independent. The conditional finding is the one claim this evidence carries firmly.</w:t>
      </w:r>
    </w:p>
    <w:p>
      <w:pPr>
        <w:pStyle w:val="Heading2"/>
        <w:spacing w:after="180" w:before="320"/>
      </w:pPr>
      <w:r>
        <w:rPr>
          <w:rFonts w:ascii="Calibri" w:cs="Calibri" w:eastAsia="Calibri" w:hAnsi="Calibri"/>
          <w:b/>
          <w:bCs/>
          <w:color w:val="111111"/>
          <w:sz w:val="26"/>
          <w:szCs w:val="26"/>
        </w:rPr>
        <w:t xml:space="preserve">Future work</w:t>
      </w:r>
    </w:p>
    <w:p>
      <w:pPr>
        <w:spacing w:after="160" w:line="320"/>
        <w:jc w:val="both"/>
      </w:pPr>
      <w:r>
        <w:t xml:space="preserve">Three extensions follow from the limitations above. The first is the priority: it is the only finding here that is a defect of the design rather than a property of the target. The epistemic term is inert because a single recurrent layer leaves the dropout mask on the output layer; drawing one mask per sequence and applying it at every step would make the passes perturb the recurrent weights. The expected effect is an epistemic share that responds to the state and a band that widens away from the training distribution, evaluated on the same coverage and proper-score battery. It costs a refit of the four uncertainty specifications: minutes on four processor cores, no new hardware.</w:t>
      </w:r>
    </w:p>
    <w:p>
      <w:pPr>
        <w:spacing w:after="160" w:line="320"/>
        <w:jc w:val="both"/>
      </w:pPr>
      <w:r>
        <w:t xml:space="preserve">The second addresses the calm-state miscalibration: estimating the interval scale by state on the validation block rather than pooled on the evaluation block would turn a measurement into a correction testable out of sample, at the cost of one pass over the stored predictive moments. Pre-registering the feature set and the state-count grid, as the penalty grid already was, would cost nothing beyond discipline and let a successor study claim what this one can only declare.</w:t>
      </w:r>
    </w:p>
    <w:p>
      <w:pPr>
        <w:spacing w:after="160" w:line="320"/>
        <w:jc w:val="both"/>
      </w:pPr>
      <w:r>
        <w:t xml:space="preserve">The third is the most expensive and least certain. One stress episode dominates the evaluation window and the library used here ends in February 2022; a maintained intraday feed would extend the window and allow a second frequency, testing whether the transitional advantage belongs to the daily horizon or the method. The binding cost is a data subscription rather than computation.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uiPriority w:val="35"/>
    <w:unhideWhenUsed/>
    <w:qFormat/>
    <w:pPr>
      <w:spacing w:after="200" w:line="240" w:lineRule="auto"/>
    </w:pPr>
    <w:rPr>
      <w:i/>
      <w:iCs/>
      <w:color w:val="44546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021c43aaddbbffb2eec793cfdff615a93a8dc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Methodology</dc:title>
  <dc:creator>MSc Dissertation</dc:creator>
  <cp:lastModifiedBy>Un-named</cp:lastModifiedBy>
  <cp:revision>1</cp:revision>
  <dcterms:created xsi:type="dcterms:W3CDTF">2026-08-31T21:15:36.745Z</dcterms:created>
  <dcterms:modified xsi:type="dcterms:W3CDTF">2026-08-31T21:15:36.745Z</dcterms:modified>
</cp:coreProperties>
</file>

<file path=docProps/custom.xml><?xml version="1.0" encoding="utf-8"?>
<Properties xmlns="http://schemas.openxmlformats.org/officeDocument/2006/custom-properties" xmlns:vt="http://schemas.openxmlformats.org/officeDocument/2006/docPropsVTypes"/>
</file>