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 each the instrument of one of the research questions set out next: (i) and (ii) answer RQ1, (iii) answers RQ2 and (iv) answers RQ3; RQ4 has no objective of its own and re-applies (i) and (iii) to two further indices.</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set, supplied as raw daily lags rather than Corsi's daily, weekly and monthly aggregates; Chapter 3 specifies the input window and the resulting difference in history reach. A further ablation adds the CBOE VIX, reported separately rather than entered into the like-for-like benchmark because it draws on option-implied information no other model can access.</w:t>
      </w:r>
    </w:p>
    <w:p w14:paraId="4C1582DC" w14:textId="77777777" w:rsidR="00FC20F0" w:rsidRDefault="00FC20F0" w:rsidP="00FC20F0">
      <w:pPr>
        <w:spacing w:after="200" w:line="360" w:lineRule="auto"/>
        <w:jc w:val="both"/>
      </w:pPr>
      <w:r>
        <w:t xml:space="preserve">(iii) Identify latent market regimes with probabilistic state-space methods — principally a Gaussian-emission hidden Markov model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one regime-conditioned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567" w:hanging="567"/>
        <w:jc w:val="left"/>
      </w:pPr>
      <w:r>
        <w:t xml:space="preserve">Andersen, T.G., Bollerslev, T., Diebold, F.X. and Labys, P., 2003. Modeling and forecasting realized volatility. </w:t>
      </w:r>
      <w:r>
        <w:rPr>
          <w:i/>
        </w:rPr>
        <w:t xml:space="preserve">Econometrica</w:t>
      </w:r>
      <w:r>
        <w:t xml:space="preserve">, 71(2), pp.579–625. https://doi.org/10.1111/1468-0262.00418</w:t>
      </w:r>
    </w:p>
    <w:p w14:paraId="75D48552" w14:textId="77777777" w:rsidR="00FC20F0" w:rsidRDefault="00FC20F0" w:rsidP="00FC20F0">
      <w:pPr>
        <w:spacing w:after="140" w:line="360" w:lineRule="auto"/>
        <w:ind w:left="567" w:hanging="567"/>
        <w:jc w:val="left"/>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567" w:hanging="567"/>
        <w:jc w:val="left"/>
      </w:pPr>
      <w:r>
        <w:t xml:space="preserve">Bollerslev, T., 1986. Generalized autoregressive conditional heteroskedasticity. </w:t>
      </w:r>
      <w:r>
        <w:rPr>
          <w:i/>
        </w:rPr>
        <w:t xml:space="preserve">Journal of Econometrics</w:t>
      </w:r>
      <w:r>
        <w:t xml:space="preserve">, 31(3), pp.307–327. https://doi.org/10.1016/0304-4076(86)90063-1</w:t>
      </w:r>
    </w:p>
    <w:p w14:paraId="5585BF37" w14:textId="77777777" w:rsidR="00FC20F0" w:rsidRDefault="00FC20F0" w:rsidP="00FC20F0">
      <w:pPr>
        <w:spacing w:after="140" w:line="360" w:lineRule="auto"/>
        <w:ind w:left="567" w:hanging="567"/>
        <w:jc w:val="left"/>
      </w:pPr>
      <w:r>
        <w:t xml:space="preserve">Brunnermeier, M.K., 2009. Deciphering the liquidity and credit crunch 2007–2008. </w:t>
      </w:r>
      <w:r>
        <w:rPr>
          <w:i/>
        </w:rPr>
        <w:t xml:space="preserve">Journal of Economic Perspectives</w:t>
      </w:r>
      <w:r>
        <w:t xml:space="preserve">, 23(1), pp.77–100. https://doi.org/10.1257/jep.23.1.77</w:t>
      </w:r>
    </w:p>
    <w:p w14:paraId="07057CC5" w14:textId="77777777" w:rsidR="00FC20F0" w:rsidRDefault="00FC20F0" w:rsidP="00FC20F0">
      <w:pPr>
        <w:spacing w:after="140" w:line="360" w:lineRule="auto"/>
        <w:ind w:left="567" w:hanging="567"/>
        <w:jc w:val="left"/>
      </w:pPr>
      <w:r>
        <w:t xml:space="preserve">Brunnermeier, M.K. and Pedersen, L.H., 2009. Market liquidity and funding liquidity. </w:t>
      </w:r>
      <w:r>
        <w:rPr>
          <w:i/>
        </w:rPr>
        <w:t xml:space="preserve">The Review of Financial Studies</w:t>
      </w:r>
      <w:r>
        <w:t xml:space="preserve">, 22(6), pp.2201–2238. https://doi.org/10.1093/rfs/hhn098</w:t>
      </w:r>
    </w:p>
    <w:p w14:paraId="78905898" w14:textId="77777777" w:rsidR="00FC20F0" w:rsidRDefault="00FC20F0" w:rsidP="00FC20F0">
      <w:pPr>
        <w:spacing w:after="140" w:line="360" w:lineRule="auto"/>
        <w:ind w:left="567" w:hanging="567"/>
        <w:jc w:val="left"/>
      </w:pPr>
      <w:r>
        <w:t xml:space="preserve">Bucci, A., 2020. Realized volatility forecasting with neural networks. </w:t>
      </w:r>
      <w:r>
        <w:rPr>
          <w:i/>
        </w:rPr>
        <w:t xml:space="preserve">Journal of Financial Econometrics</w:t>
      </w:r>
      <w:r>
        <w:t xml:space="preserve">, 18(3), pp.502–531. https://doi.org/10.1093/jjfinec/nbaa008</w:t>
      </w:r>
    </w:p>
    <w:p w14:paraId="54A3C6EA" w14:textId="77777777" w:rsidR="00FC20F0" w:rsidRDefault="00FC20F0" w:rsidP="00FC20F0">
      <w:pPr>
        <w:spacing w:after="140" w:line="360" w:lineRule="auto"/>
        <w:ind w:left="567" w:hanging="567"/>
        <w:jc w:val="left"/>
      </w:pPr>
      <w:r>
        <w:t xml:space="preserve">Cont, R., 2001. Empirical properties of asset returns: stylized facts and statistical issues. </w:t>
      </w:r>
      <w:r>
        <w:rPr>
          <w:i/>
        </w:rPr>
        <w:t xml:space="preserve">Quantitative Finance</w:t>
      </w:r>
      <w:r>
        <w:t xml:space="preserve">, 1(2), pp.223–236. https://doi.org/10.1080/713665670</w:t>
      </w:r>
    </w:p>
    <w:p w14:paraId="2A12D70D" w14:textId="77777777" w:rsidR="00FC20F0" w:rsidRDefault="00FC20F0" w:rsidP="00FC20F0">
      <w:pPr>
        <w:spacing w:after="140" w:line="360" w:lineRule="auto"/>
        <w:ind w:left="567" w:hanging="567"/>
        <w:jc w:val="left"/>
      </w:pPr>
      <w:r w:rsidRPr="009844F9">
        <w:t xml:space="preserve">Corsi, F., 2009. A simple approximate long-memory model of realized volatility. </w:t>
      </w:r>
      <w:r w:rsidRPr="009844F9">
        <w:rPr>
          <w:i/>
        </w:rPr>
        <w:t xml:space="preserve">Journal of Financial Econometrics</w:t>
      </w:r>
      <w:r w:rsidRPr="009844F9">
        <w:t xml:space="preserve">, 7(2), pp.174–196. https://doi.org/10.1093/jjfinec/nbp001</w:t>
      </w:r>
    </w:p>
    <w:p w14:paraId="2FD0D19C" w14:textId="77777777" w:rsidR="00FC20F0" w:rsidRDefault="00FC20F0" w:rsidP="00FC20F0">
      <w:pPr>
        <w:spacing w:after="140" w:line="360" w:lineRule="auto"/>
        <w:ind w:left="567" w:hanging="567"/>
        <w:jc w:val="lef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14:paraId="790616E0" w14:textId="77777777" w:rsidR="00FC20F0" w:rsidRDefault="00FC20F0" w:rsidP="00FC20F0">
      <w:pPr>
        <w:spacing w:after="140" w:line="360" w:lineRule="auto"/>
        <w:ind w:left="567" w:hanging="567"/>
        <w:jc w:val="lef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14:paraId="79A87AF8" w14:textId="77777777" w:rsidR="00FC20F0" w:rsidRDefault="00FC20F0" w:rsidP="00FC20F0">
      <w:pPr>
        <w:spacing w:after="140" w:line="360" w:lineRule="auto"/>
        <w:ind w:left="567" w:hanging="567"/>
        <w:jc w:val="left"/>
      </w:pPr>
      <w:r w:rsidRPr="002C785A">
        <w:t xml:space="preserve">Giacomini, R. and White, H., 2006. Tests of conditional predictive ability. </w:t>
      </w:r>
      <w:r w:rsidRPr="002C785A">
        <w:rPr>
          <w:i/>
        </w:rPr>
        <w:t xml:space="preserve">Econometrica</w:t>
      </w:r>
      <w:r w:rsidRPr="002C785A">
        <w:t xml:space="preserve">, 74(6), pp.1545–1578. https://doi.org/10.1111/j.1468-0262.2006.00718.x</w:t>
      </w:r>
    </w:p>
    <w:p w14:paraId="79A87AF8" w14:textId="77777777" w:rsidR="00FC20F0" w:rsidRDefault="00FC20F0" w:rsidP="00FC20F0">
      <w:pPr>
        <w:spacing w:after="140" w:line="360" w:lineRule="auto"/>
        <w:ind w:left="567" w:hanging="567"/>
        <w:jc w:val="left"/>
      </w:pPr>
      <w:r w:rsidRPr="002C785A">
        <w:t xml:space="preserve">Gneiting, T. and Raftery, A.E., 2007. Strictly proper scoring rules, prediction, and estimation. </w:t>
      </w:r>
      <w:r w:rsidRPr="002C785A">
        <w:rPr>
          <w:i/>
        </w:rPr>
        <w:t xml:space="preserve">Journal of the American Statistical Association</w:t>
      </w:r>
      <w:r w:rsidRPr="002C785A">
        <w:t xml:space="preserve">, 102(477), pp.359–378. https://doi.org/10.1198/016214506000001437</w:t>
      </w:r>
    </w:p>
    <w:p w14:paraId="4F827600" w14:textId="77777777" w:rsidR="00FC20F0" w:rsidRDefault="00FC20F0" w:rsidP="00FC20F0">
      <w:pPr>
        <w:spacing w:after="140" w:line="360" w:lineRule="auto"/>
        <w:ind w:left="567" w:hanging="567"/>
        <w:jc w:val="left"/>
      </w:pPr>
      <w:r>
        <w:t xml:space="preserve">Hamilton, J.D., 1989. A new approach to the economic analysis of nonstationary time series and the business cycle. </w:t>
      </w:r>
      <w:r>
        <w:rPr>
          <w:i/>
        </w:rPr>
        <w:t xml:space="preserve">Econometrica</w:t>
      </w:r>
      <w:r>
        <w:t xml:space="preserve">, 57(2), pp.357–384. https://doi.org/10.2307/1912559</w:t>
      </w:r>
    </w:p>
    <w:p w14:paraId="5AF5CC38" w14:textId="77777777" w:rsidR="00FC20F0" w:rsidRDefault="00FC20F0" w:rsidP="00FC20F0">
      <w:pPr>
        <w:spacing w:after="140" w:line="360" w:lineRule="auto"/>
        <w:ind w:left="567" w:hanging="567"/>
        <w:jc w:val="left"/>
      </w:pPr>
      <w:r w:rsidRPr="00B74E97">
        <w:t xml:space="preserve">Hansen, P.R., Lunde, A. and Nason, J.M., 2011. The model confidence set. </w:t>
      </w:r>
      <w:r w:rsidRPr="00B74E97">
        <w:rPr>
          <w:i/>
        </w:rPr>
        <w:t xml:space="preserve">Econometrica</w:t>
      </w:r>
      <w:r w:rsidRPr="00B74E97">
        <w:t xml:space="preserve">, 79(2), pp.453–497. https://doi.org/10.3982/ECTA5771</w:t>
      </w:r>
    </w:p>
    <w:p w14:paraId="22A8619A" w14:textId="77777777" w:rsidR="00FC20F0" w:rsidRDefault="00FC20F0" w:rsidP="00FC20F0">
      <w:pPr>
        <w:spacing w:after="140" w:line="360" w:lineRule="auto"/>
        <w:ind w:left="567" w:hanging="567"/>
        <w:jc w:val="left"/>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567" w:hanging="567"/>
        <w:jc w:val="left"/>
      </w:pPr>
      <w:r w:rsidRPr="00B411B3">
        <w:t xml:space="preserve">Hochreiter, S. and Schmidhuber, J., 1997. Long short-term memory. </w:t>
      </w:r>
      <w:r w:rsidRPr="00B411B3">
        <w:rPr>
          <w:i/>
        </w:rPr>
        <w:t xml:space="preserve">Neural Computation</w:t>
      </w:r>
      <w:r w:rsidRPr="00B411B3">
        <w:t xml:space="preserve">, 9(8), pp.1735–1780. https://doi.org/10.1162/neco.1997.9.8.1735</w:t>
      </w:r>
    </w:p>
    <w:p w14:paraId="2FE401F4" w14:textId="77777777" w:rsidR="00FC20F0" w:rsidRDefault="00FC20F0" w:rsidP="00FC20F0">
      <w:pPr>
        <w:spacing w:after="140" w:line="360" w:lineRule="auto"/>
        <w:ind w:left="567" w:hanging="567"/>
        <w:jc w:val="lef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14:paraId="592BBA97" w14:textId="77777777" w:rsidR="00FC20F0" w:rsidRDefault="00FC20F0" w:rsidP="00FC20F0">
      <w:pPr>
        <w:spacing w:after="140" w:line="360" w:lineRule="auto"/>
        <w:ind w:left="567" w:hanging="567"/>
        <w:jc w:val="left"/>
      </w:pPr>
      <w:r>
        <w:t xml:space="preserve">Mandelbrot, B., 1963. The variation of certain speculative prices. </w:t>
      </w:r>
      <w:r>
        <w:rPr>
          <w:i/>
        </w:rPr>
        <w:t xml:space="preserve">The Journal of Business</w:t>
      </w:r>
      <w:r>
        <w:t xml:space="preserve">, 36(4), pp.394–419. https://doi.org/10.1086/294632</w:t>
      </w:r>
    </w:p>
    <w:p w14:paraId="7DA22199" w14:textId="77777777" w:rsidR="00FC20F0" w:rsidRDefault="00FC20F0" w:rsidP="00FC20F0">
      <w:pPr>
        <w:spacing w:after="140" w:line="360" w:lineRule="auto"/>
        <w:ind w:left="567" w:hanging="567"/>
        <w:jc w:val="left"/>
      </w:pPr>
      <w:r w:rsidRPr="00953D9F">
        <w:t xml:space="preserve">Nystrup, P., Lindström, E. and Madsen, H., 2020. Learning hidden Markov models with persistent states by penalizing jumps. </w:t>
      </w:r>
      <w:r w:rsidRPr="00953D9F">
        <w:rPr>
          <w:i/>
        </w:rPr>
        <w:t xml:space="preserve">Expert Systems with Applications</w:t>
      </w:r>
      <w:r w:rsidRPr="00953D9F">
        <w:t xml:space="preserve">, 150, 113307. https://doi.org/10.1016/j.eswa.2020.113307</w:t>
      </w:r>
    </w:p>
    <w:p w14:paraId="4FEFD641" w14:textId="77777777" w:rsidR="00FC20F0" w:rsidRDefault="00FC20F0" w:rsidP="00FC20F0">
      <w:pPr>
        <w:spacing w:after="140" w:line="360" w:lineRule="auto"/>
        <w:ind w:left="567" w:hanging="567"/>
        <w:jc w:val="left"/>
      </w:pPr>
      <w:r w:rsidRPr="00953D9F">
        <w:t xml:space="preserve">Patton, A.J., 2011. Volatility forecast comparison using imperfect volatility proxies. </w:t>
      </w:r>
      <w:r w:rsidRPr="00953D9F">
        <w:rPr>
          <w:i/>
        </w:rPr>
        <w:t xml:space="preserve">Journal of Econometrics</w:t>
      </w:r>
      <w:r w:rsidRPr="00953D9F">
        <w:t xml:space="preserve">, 160(1), pp.246–256. https://doi.org/10.1016/j.jeconom.2010.03.034</w:t>
      </w:r>
    </w:p>
    <w:p w14:paraId="3EFB5634" w14:textId="77777777" w:rsidR="00FC20F0" w:rsidRDefault="00FC20F0" w:rsidP="00FC20F0">
      <w:pPr>
        <w:spacing w:after="140" w:line="360" w:lineRule="auto"/>
        <w:ind w:left="567" w:hanging="567"/>
        <w:jc w:val="left"/>
      </w:pPr>
      <w:r>
        <w:t xml:space="preserve">Poon, S.-H. and Granger, C.W.J., 2003. Forecasting volatility in financial markets: a review. </w:t>
      </w:r>
      <w:r>
        <w:rPr>
          <w:i/>
        </w:rPr>
        <w:t xml:space="preserve">Journal of Economic Literature</w:t>
      </w:r>
      <w:r>
        <w:t xml:space="preserve">, 41(2), pp.478–539. https://doi.org/10.1257/002205103765762743</w:t>
      </w:r>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