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Chapter 2: 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 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 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w:t>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Bollerslev's (1986) Generalised Autoregressive Conditional Heteroskedasticity model extends Engle's (1982) ARCH by expressing conditional variance as a linear function of past squared residuals and past conditional variances; GARCH(1,1) reduces this to a short-run shock response, a longer-run persistence component and a closed-form unconditional variance. 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It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responses. Nelson's (1991) Exponential GARCH models the logarithm of conditional variance, so positivity holds without parameter restrictions and innovations enter through both sign and magnitude; the GJR-GARCH of Glosten, Jagannathan and Runkle (1993) reaches the same target in levels through a single threshold term that activates only for negative shocks — more parsimonious, but discontinuous. 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 improvement reflects genuine non-linear learning of regime-dependent dynamics, or merely an asymmetry a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none improving significantly on plain GARCH(1,1) under proxy-robust losses for exchange-rate volatility, though the equity result was more nuanced and asymmetric specifications such as EGARCH and GJR-GARCH were sometimes preferred. An alternative must therefore deliver out-of-sample gains that survive proxy-robust scrutiny, not merely fit better in-sample. One caveat tempers that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it throughout, in the Andersen et al. (2003) sense and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 QLIKE also penalises under-prediction more heavily than over-prediction, aligning the objective with the asymmetric cost of underestimating risk; it is adopted as the primary out-of-sample metric, with mean squared error as a robustness check.</w:t>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capturing persistence parsimoniously and routinely matching or exceeding fractionally integrated alternatives on equity indices. 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t xml:space="preserve">Smoothed state probabilities give interpretable retrospective inference, but forecasting must rely on filtered probabilities, which estimate the active regime from information available up to each date and so avoid look-ahead bias. Within that framework, the dissertation adopts a </w:t>
      </w:r>
      <w:r>
        <w:rPr>
          <w:b/>
        </w:rPr>
        <w:t>Gaussian-emission Hidden Markov Model</w:t>
      </w:r>
      <w:r>
        <w:t xml:space="preserve"> rather than a Markov-switching autoregression, each regime parameterised as a Gaussian over standardised daily log returns. The choice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Lindström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w:t>
      </w:r>
      <w:r>
        <w:t>, so the filtered posterior inherits a persistent state path rather than maximum likelihood's excessive switching.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w:t>
      </w:r>
    </w:p>
    <w:p w14:paraId="73823810" w14:textId="77777777" w:rsidR="008A3CB1" w:rsidRDefault="008A3CB1" w:rsidP="008A3CB1">
      <w:pPr>
        <w:spacing w:line="360" w:lineRule="auto"/>
      </w:pPr>
      <w:r>
        <w:t>The tradition remains active on this dissertation's own target: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 Both motivate conditioning the network on an external state estimate rather than expecting it to learn regime structure unsupervised.</w:t>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that decomposition explicit, including the mixture of per-state experts of Jacobs et al. (1991).</w:t>
      </w:r>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 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and a wave of very recent studies sharpens the precedents further, each occupying only part of the pipeline assembled here; Table 2.1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(Koenker and Bassett, 1978), motivated by CAViaR (Engle and Manganelli, 2004), imposes no parametric assumption on the conditional distribution.</w:t>
      </w:r>
      <w:r>
        <w:rPr>
          <w:bCs/>
        </w:rPr>
      </w:r>
      <w:r/>
      <w:r/>
      <w:r>
        <w:rPr>
          <w:bCs/>
        </w:rPr>
      </w:r>
      <w:r/>
      <w:r>
        <w:rPr>
          <w:bCs/>
        </w:rPr>
      </w:r>
      <w:r/>
      <w:r>
        <w:t xml:space="preserve"> They are paired because their failure modes do not overlap: dropout’s variational approximation may understate uncertainty under distribution shift, while quantile-regression intervals lack formal coverage guarantees and must be validated empirically.</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distribution-free loss was later adopted by neural quantile regression and refined for finite-sample coverage by conformal methods (Romano, Patterson and Candès, 2019; Xu and Xie, 2021; Gibbs and Candès, 2021), which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therefore justifies training the LSTM to output conditional quantiles directly rather than sampling a posterior. It imposes no distributional assumption and remains valid for heavy-tailed returns, but the estimated quantiles are not guaranteed monotonic and the intervals lack the finite-sample coverage guarantees of Bayesian or conformal procedures, so their empirical coverage must be established rather than assumed.</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 Gunnarsson et al. (2024) underscore the point: they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 The principle they crystallise is that a probabilistic forecast cannot be judged by its point estimate alone: two forecasts with identical means may differ substantially in tail behaviour, and therefore in economic value to a risk manager sizing positions or setting capital.</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 That this family comes from risk-management practice matters: an interval whose stated confidence is not met misstates risk to whoever relies on it, so coverage is tested rather than assumed.</w:t>
      </w:r>
    </w:p>
    <w:p w14:paraId="31821CBD" w14:textId="77777777" w:rsidR="008A3CB1" w:rsidRDefault="008A3CB1" w:rsidP="008A3CB1">
      <w:pPr>
        <w:pStyle w:val="Heading2"/>
        <w:spacing w:line="360" w:lineRule="auto"/>
      </w:pPr>
      <w:bookmarkStart w:id="8" w:name="synthesis-and-identified-gap"/>
      <w:bookmarkEnd w:id="8"/>
      <w:r>
        <w:t>2.8 Synthesis, Identified Gap and Summary</w:t>
      </w:r>
    </w:p>
    <w:p w14:paraId="67954B03" w14:textId="77777777" w:rsidR="008A3CB1" w:rsidRDefault="008A3CB1" w:rsidP="008A3CB1">
      <w:pPr>
        <w:spacing w:line="360" w:lineRule="auto"/>
      </w:pPr>
      <w:r>
        <w:t>The four traditions describe a coherent landscape whose components have not been integrated into one empirical pipeline for daily realised-volatility forecasting on a major US equity index. The regime-switching machinery for extracting persistent states is almost always paired with parametric rather than neural models; LSTMs have matched or modestly exceeded econometric baselines (Kim and Won, 2018; Bucci, 2020) but rarely on daily realised volatility for a major US index and rarely conditioned on regime; and the two routes to calibrated predictive distributions (Gal and Ghahramani, 2016; Engle and Manganelli, 2004) are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 the aim is not a novel architecture but a rigorous test of the integrated pipeline, which Chapter 3 specifies.</w:t>
      </w:r>
    </w:p>
    <w:p w14:paraId="2EB5D859" w14:textId="77777777" w:rsidR="008A3CB1" w:rsidRDefault="008A3CB1" w:rsidP="008A3CB1">
      <w:pPr>
        <w:spacing w:line="360" w:lineRule="auto"/>
      </w:pPr>
      <w:r>
        <w:t xml:space="preserve">Table 2.1  The nearest studies and what each leaves open. A dash marks a component the study does not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 Russell 2000 and FTSE 100 transfer check</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ind w:left="567" w:hanging="567"/>
        <w:jc w:val="left"/>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ind w:left="567" w:hanging="567"/>
        <w:jc w:val="left"/>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ind w:left="567" w:hanging="567"/>
        <w:jc w:val="left"/>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ind w:left="567" w:hanging="567"/>
        <w:jc w:val="left"/>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ind w:left="567" w:hanging="567"/>
        <w:jc w:val="left"/>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ind w:left="567" w:hanging="567"/>
        <w:jc w:val="left"/>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ind w:left="567" w:hanging="567"/>
        <w:jc w:val="left"/>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ind w:left="567" w:hanging="567"/>
        <w:jc w:val="left"/>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ind w:left="567" w:hanging="567"/>
        <w:jc w:val="left"/>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ind w:left="567" w:hanging="567"/>
        <w:jc w:val="left"/>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ind w:left="567" w:hanging="567"/>
        <w:jc w:val="left"/>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ind w:left="567" w:hanging="567"/>
        <w:jc w:val="left"/>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ind w:left="567" w:hanging="567"/>
        <w:jc w:val="left"/>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ind w:left="567" w:hanging="567"/>
        <w:jc w:val="left"/>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ind w:left="567" w:hanging="567"/>
        <w:jc w:val="left"/>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ind w:left="567" w:hanging="567"/>
        <w:jc w:val="left"/>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ind w:left="567" w:hanging="567"/>
        <w:jc w:val="left"/>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ind w:left="567" w:hanging="567"/>
        <w:jc w:val="left"/>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ind w:left="567" w:hanging="567"/>
        <w:jc w:val="left"/>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ind w:left="567" w:hanging="567"/>
        <w:jc w:val="left"/>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ind w:left="567" w:hanging="567"/>
        <w:jc w:val="left"/>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ind w:left="567" w:hanging="567"/>
        <w:jc w:val="left"/>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ind w:left="567" w:hanging="567"/>
        <w:jc w:val="left"/>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ind w:left="567" w:hanging="567"/>
        <w:jc w:val="left"/>
      </w:pPr>
      <w:r>
        <w:t>Heber, G., Lunde, A., Shephard, N. and Sheppard, K., 2009. Oxford-Man Institute’s realized library. Oxford-Man Institute, University of Oxford.</w:t>
      </w:r>
    </w:p>
    <w:p w14:paraId="5ACDA7E6" w14:textId="77777777" w:rsidR="008A3CB1" w:rsidRDefault="008A3CB1" w:rsidP="008A3CB1">
      <w:pPr>
        <w:spacing w:line="360" w:lineRule="auto"/>
        <w:ind w:left="567" w:hanging="567"/>
        <w:jc w:val="left"/>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ind w:left="567" w:hanging="567"/>
        <w:jc w:val="left"/>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ind w:left="567" w:hanging="567"/>
        <w:jc w:val="left"/>
      </w:pPr>
      <w:r>
        <w:t xml:space="preserve">Jacobs, R.A., Jordan, M.I., Nowlan, S.J. and Hinton, G.E., 1991. Adaptive mixtures of local experts. </w:t>
      </w:r>
      <w:r>
        <w:rPr>
          <w:i/>
        </w:rPr>
        <w:t xml:space="preserve">Neural Computation</w:t>
      </w:r>
      <w:r>
        <w:t xml:space="preserve">, 3(1), pp.79–87. https://doi.org/10.1162/neco.1991.3.1.79</w:t>
      </w:r>
    </w:p>
    <w:p w14:paraId="3B34F36E" w14:textId="77777777" w:rsidR="008A3CB1" w:rsidRDefault="008A3CB1" w:rsidP="008A3CB1">
      <w:pPr>
        <w:spacing w:line="360" w:lineRule="auto"/>
        <w:ind w:left="567" w:hanging="567"/>
        <w:jc w:val="left"/>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ind w:left="567" w:hanging="567"/>
        <w:jc w:val="left"/>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ind w:left="567" w:hanging="567"/>
        <w:jc w:val="left"/>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ind w:left="567" w:hanging="567"/>
        <w:jc w:val="left"/>
      </w:pPr>
      <w:r>
        <w:t xml:space="preserve">Koenker, R. and Bassett, G., 1978. Regression quantiles. </w:t>
      </w:r>
      <w:r>
        <w:rPr>
          <w:i/>
        </w:rPr>
        <w:t xml:space="preserve">Econometrica</w:t>
      </w:r>
      <w:r>
        <w:t xml:space="preserve">, 46(1), pp.33–50. https://doi.org/10.2307/1913643</w:t>
      </w:r>
    </w:p>
    <w:p w14:paraId="62B1210D" w14:textId="77777777" w:rsidR="008A3CB1" w:rsidRDefault="008A3CB1" w:rsidP="008A3CB1">
      <w:pPr>
        <w:spacing w:line="360" w:lineRule="auto"/>
        <w:ind w:left="567" w:hanging="567"/>
        <w:jc w:val="left"/>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ind w:left="567" w:hanging="567"/>
        <w:jc w:val="left"/>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ind w:left="567" w:hanging="567"/>
        <w:jc w:val="left"/>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ind w:left="567" w:hanging="567"/>
        <w:jc w:val="left"/>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ind w:left="567" w:hanging="567"/>
        <w:jc w:val="left"/>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ind w:left="567" w:hanging="567"/>
        <w:jc w:val="left"/>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ind w:left="567" w:hanging="567"/>
        <w:jc w:val="left"/>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ind w:left="567" w:hanging="567"/>
        <w:jc w:val="left"/>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ind w:left="567" w:hanging="567"/>
        <w:jc w:val="left"/>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ind w:left="567" w:hanging="567"/>
        <w:jc w:val="left"/>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ind w:left="567" w:hanging="567"/>
        <w:jc w:val="left"/>
      </w:pPr>
      <w:r>
        <w:t xml:space="preserve">Taylor, S.J., 1986. </w:t>
      </w:r>
      <w:r>
        <w:rPr>
          <w:i/>
        </w:rPr>
        <w:t>Modelling Financial Time Series</w:t>
      </w:r>
      <w:r>
        <w:t>. Chichester: John Wiley &amp; Sons.</w:t>
      </w:r>
    </w:p>
    <w:p w14:paraId="76E6C026" w14:textId="77777777" w:rsidR="008A3CB1" w:rsidRDefault="008A3CB1" w:rsidP="008A3CB1">
      <w:pPr>
        <w:spacing w:line="36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ind w:left="567" w:hanging="567"/>
        <w:jc w:val="left"/>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ind w:left="567" w:hanging="567"/>
        <w:jc w:val="left"/>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ind w:left="567" w:hanging="567"/>
        <w:jc w:val="left"/>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