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This chapter specifies the method: the data it requires, how each component is built, how its parameters are chosen, and how forecasts are judged. It is written to be reproducible without sight of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The paradigm is a controlled comparative evaluation. Chapter 2 found the gap to be one of integration rather than invention, the econometric, regime-switching, deep-learning and uncertainty-quantification traditions having matured separately, so the object under test is the assembled pipeline rather than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scores.</w:t>
      </w:r>
    </w:p>
    <w:p>
      <w:pPr>
        <w:spacing w:after="160" w:line="320"/>
        <w:jc w:val="both"/>
      </w:pPr>
      <w:r>
        <w:rPr>
          <w:rFonts w:ascii="Calibri" w:cs="Calibri" w:eastAsia="Calibri" w:hAnsi="Calibri"/>
          <w:color w:val="111111"/>
          <w:sz w:val="22"/>
          <w:szCs w:val="22"/>
        </w:rPr>
        <w:t>Figure 3.1 shows the pipeline, Sections 3.2 to 3.7 taking its stages in order. The target is realised variance rather than realised volatility, every loss computed on the variance scale, and Table 3.1 fixes each model's role, Appendix A.1 the symbols used throughout, and Appendix A.2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Table 3.1  Model inventory: the role each model plays in the comparison. The terms in the left-hand column are used with these meanings in every subsequent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Figure 3.1. The forecasting pipeline. Solid arrows carry data; the dashed arrow carries the regime signal, estimated on the training window only. The bracket marks the stages produced on the anchored walk-forward; each estimation box states its own refit cadence, which differs by model family for the reasons given in Section 3.6.</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The method is specified against a data interface rather than a source: any series meeting the requirements below drives the pipeline unchanged, and Chapter 4 names the series used. The dependent variable is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Predictor requirements stay modest, the Section 3.4 comparison being interpretable only if every model draws on the same information set; Table 3.2 gives the interface. An auxiliary implied-volatility series must price options on the same market as the target, one from another market being a spillover experiment rather than a feature. Rows missing a required field are dropped, never imputed, the missing quantity being the object forecast.</w:t>
      </w:r>
    </w:p>
    <w:p>
      <w:pPr>
        <w:spacing w:after="90" w:before="200"/>
      </w:pPr>
      <w:r>
        <w:rPr>
          <w:rFonts w:ascii="Calibri" w:cs="Calibri" w:eastAsia="Calibri" w:hAnsi="Calibri"/>
          <w:b/>
          <w:bCs/>
          <w:color w:val="111111"/>
          <w:sz w:val="19"/>
          <w:szCs w:val="19"/>
        </w:rP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240"/>
        <w:gridCol w:w="204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2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0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Closing price; the close-to-close return the Section 3.3 regime model emits on, and with open the session return of Table 3.3</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Conditional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Required when the target is session-only; positive, same session</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With close, the open-to-close return the variance baselines take, matched to the target's session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the training, validation and test windows of Section 3.6. The horizon is one trading day: every forecast of day t draws only on information dated t−1 or earlier, and multi-step forecasting lies outside this design.</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 expectation-maximisation switches states faster than the data warrant (Nystrup, Lindström and Madsen, 2020). This design adopts their remedy of penalising switching directly, keeping the maximum-likelihood fit as the comparator.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z</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regime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the number of days in the estimation window,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c</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feature vector is deliberately minimal — the daily close-to-close log return, standardised on training rows only — which is the simple Gaussian emission Chapter 2 §2.4 argues for.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the filtered posterior </w:t>
      </w:r>
      <w:r>
        <w:rPr>
          <w:rFonts w:ascii="Calibri" w:cs="Calibri" w:eastAsia="Calibri" w:hAnsi="Calibri"/>
          <w:i/>
          <w:iCs/>
          <w:color w:val="111111"/>
          <w:sz w:val="22"/>
          <w:szCs w:val="22"/>
        </w:rPr>
        <w:t xml:space="preserve">ξ</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z</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 z</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The state count is fixed rather than fitted: three states — calm, transitional and crisis — are set in advance on the interpretability grounds of Chapter 2 §2.4, a richer space diluting interpretation and inviting overfitting at this sample size. An information criterion over a small grid of candidate counts is reported as a sensitivity rather than used as the selector: the two estimators of this section need not agree on it, and letting a criterion decide the count once the downstream models exist would reopen every choice made conditional on it. Chapter 4 reports the grid, the criterion's values and where the estimators disagree.</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so the penalty cannot be tuned to the answer; a finer sweep is published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What varies across the models of Table 3.1 is the information each may use and the form each may take, one at a time. Three econometric baselines each close off a competing explanation, alongside a reference floor; Table 3.3 states what each rules out.</w:t>
      </w:r>
    </w:p>
    <w:p>
      <w:pPr>
        <w:spacing w:after="90" w:before="200"/>
      </w:pPr>
      <w:r>
        <w:rPr>
          <w:rFonts w:ascii="Calibri" w:cs="Calibri" w:eastAsia="Calibri" w:hAnsi="Calibri"/>
          <w:b/>
          <w:bCs/>
          <w:color w:val="111111"/>
          <w:sz w:val="19"/>
          <w:szCs w:val="19"/>
        </w:rPr>
        <w:t>Table 3.3  The baseline set and what each is there to rule out. The conditional-variance models take open-to-close returns,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Attention — the Transformer (Vaswani et al., 2017) and the Temporal Fusion Transformer (Lim et al., 2021) — was rejected on evidence rather than conservatism: it is data-hungry, precisely where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Two ablations vary that information set while holding the architecture fixed, because a win over HAR-RV would otherwise be unattributable. The first restricts the input to realised-volatility history alone, HAR-RV's own information source: whatever advantage survives is the architecture rather than the extra return. The match is on the source, not its construction — the network receives raw daily lags across its lookback window, HAR-RV daily, weekly and monthly aggregates reaching twenty-two days — so unless the selected window is at least that long the network works from less history, which makes it the more conservative control; Chapter 4 reports the window. The second adds an implied-volatility index, the auxiliary series of Table 3.2,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rPr>
          <w:rFonts w:ascii="Calibri" w:cs="Calibri" w:eastAsia="Calibri" w:hAnsi="Calibri"/>
          <w:color w:val="111111"/>
          <w:sz w:val="22"/>
          <w:szCs w:val="22"/>
        </w:rPr>
        <w:t>Two architectures condition that network on the regime signal, differing in where it enters. Regime as feature appends the lagged posterior to the input vector. A mixture of experts (Jacobs et al., 1991) carries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network's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the mixture returns,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k-th element of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lineRule="auto"/>
        <w:jc w:val="both"/>
      </w:pPr>
      <w:r>
        <w:rPr>
          <w:rFonts w:ascii="Calibri" w:hAnsi="Calibri"/>
          <w:color w:val="111111"/>
          <w:sz w:val="22"/>
        </w:rPr>
        <w:t xml:space="preserve">The gate also enters training, as a weight rather than a partition: every expert sees every window, weighted by its own gate, so expert </w:t>
      </w:r>
      <w:r>
        <w:rPr>
          <w:rFonts w:ascii="Calibri" w:hAnsi="Calibri"/>
          <w:i/>
          <w:color w:val="111111"/>
          <w:sz w:val="22"/>
        </w:rPr>
        <w:t>k</w:t>
      </w:r>
      <w:r>
        <w:rPr>
          <w:rFonts w:ascii="Calibri" w:hAnsi="Calibri"/>
          <w:color w:val="111111"/>
          <w:sz w:val="22"/>
        </w:rPr>
        <w:t xml:space="preserve"> minimises</w:t>
      </w:r>
    </w:p>
    <w:p>
      <w:pPr>
        <w:tabs>
          <w:tab w:pos="4513" w:val="center"/>
          <w:tab w:pos="9026" w:val="right"/>
        </w:tabs>
        <w:spacing w:after="220" w:line="320" w:lineRule="auto"/>
      </w:pPr>
      <w:r>
        <w:rPr>
          <w:sz w:val="22"/>
        </w:rPr>
        <w:tab/>
      </w:r>
      <w:r>
        <w:rPr>
          <w:rFonts w:ascii="Cambria Math" w:hAnsi="Cambria Math"/>
          <w:i/>
          <w:color w:val="111111"/>
          <w:sz w:val="24"/>
        </w:rPr>
        <w:t>J</w:t>
      </w:r>
      <w:r>
        <w:rPr>
          <w:rFonts w:ascii="Cambria Math" w:hAnsi="Cambria Math"/>
          <w:i/>
          <w:color w:val="111111"/>
          <w:sz w:val="24"/>
          <w:vertAlign w:val="subscript"/>
        </w:rPr>
        <w:t>k</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y</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i/>
          <w:color w:val="111111"/>
          <w:sz w:val="24"/>
        </w:rPr>
        <w:t>f</w:t>
      </w:r>
      <w:r>
        <w:rPr>
          <w:rFonts w:ascii="Cambria Math" w:hAnsi="Cambria Math"/>
          <w:i/>
          <w:color w:val="111111"/>
          <w:sz w:val="24"/>
          <w:vertAlign w:val="subscript"/>
        </w:rPr>
        <w:t>k</w:t>
      </w:r>
      <w:r>
        <w:rPr>
          <w:rFonts w:ascii="Cambria Math" w:hAnsi="Cambria Math"/>
          <w:color w:val="111111"/>
          <w:sz w:val="24"/>
        </w:rPr>
        <w:t>(</w:t>
      </w:r>
      <w:r>
        <w:rPr>
          <w:rFonts w:ascii="Cambria Math" w:hAnsi="Cambria Math"/>
          <w:i/>
          <w:color w:val="111111"/>
          <w:sz w:val="24"/>
        </w:rPr>
        <w:t>x</w:t>
      </w:r>
      <w:r>
        <w:rPr>
          <w:rFonts w:ascii="Cambria Math" w:hAnsi="Cambria Math"/>
          <w:i/>
          <w:color w:val="111111"/>
          <w:sz w:val="24"/>
          <w:vertAlign w:val="subscript"/>
        </w:rPr>
        <w:t>t−L:t−1</w:t>
      </w:r>
      <w:r>
        <w:rPr>
          <w:rFonts w:ascii="Cambria Math" w:hAnsi="Cambria Math"/>
          <w:color w:val="111111"/>
          <w:sz w:val="24"/>
        </w:rPr>
        <w:t>)</w:t>
      </w:r>
      <w:r>
        <w:rPr>
          <w:rFonts w:ascii="Cambria Math" w:hAnsi="Cambria Math"/>
          <w:color w:val="111111"/>
          <w:sz w:val="24"/>
        </w:rPr>
        <w:t xml:space="preserve"> )</w:t>
      </w:r>
      <w:r>
        <w:rPr>
          <w:rFonts w:ascii="Cambria Math" w:hAnsi="Cambria Math"/>
          <w:color w:val="111111"/>
          <w:sz w:val="20"/>
          <w:vertAlign w:val="superscript"/>
        </w:rPr>
        <w:t>2</w:t>
      </w:r>
      <w:r>
        <w:rPr>
          <w:rFonts w:ascii="Cambria Math" w:hAnsi="Cambria Math"/>
          <w:color w:val="111111"/>
          <w:sz w:val="24"/>
        </w:rPr>
        <w:t xml:space="preserve"> ,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g</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g</w:t>
      </w:r>
      <w:r>
        <w:rPr>
          <w:rFonts w:ascii="Cambria Math" w:hAnsi="Cambria Math"/>
          <w:i/>
          <w:color w:val="111111"/>
          <w:sz w:val="24"/>
          <w:vertAlign w:val="subscript"/>
        </w:rPr>
        <w:t>k,t′</w:t>
      </w:r>
      <w:r>
        <w:rPr>
          <w:rFonts w:ascii="Calibri" w:hAnsi="Calibri"/>
          <w:sz w:val="22"/>
        </w:rPr>
        <w:tab/>
        <w:t>(3.3b)</w:t>
      </w:r>
    </w:p>
    <w:p>
      <w:pPr>
        <w:spacing w:after="160" w:line="320" w:lineRule="auto"/>
        <w:jc w:val="both"/>
      </w:pPr>
      <w:r>
        <w:rPr>
          <w:rFonts w:ascii="Calibri" w:hAnsi="Calibri"/>
          <w:color w:val="111111"/>
          <w:sz w:val="22"/>
        </w:rPr>
        <w:t xml:space="preserve">where </w:t>
      </w:r>
      <w:r>
        <w:rPr>
          <w:rFonts w:ascii="Calibri" w:hAnsi="Calibri"/>
          <w:i/>
          <w:color w:val="111111"/>
          <w:sz w:val="22"/>
        </w:rPr>
        <w:t>J</w:t>
      </w:r>
      <w:r>
        <w:rPr>
          <w:rFonts w:ascii="Calibri" w:hAnsi="Calibri"/>
          <w:i/>
          <w:color w:val="111111"/>
          <w:sz w:val="19"/>
          <w:vertAlign w:val="subscript"/>
        </w:rPr>
        <w:t>k</w:t>
      </w:r>
      <w:r>
        <w:rPr>
          <w:rFonts w:ascii="Calibri" w:hAnsi="Calibri"/>
          <w:color w:val="111111"/>
          <w:sz w:val="22"/>
        </w:rPr>
        <w:t xml:space="preserve"> is expert </w:t>
      </w:r>
      <w:r>
        <w:rPr>
          <w:rFonts w:ascii="Calibri" w:hAnsi="Calibri"/>
          <w:i/>
          <w:color w:val="111111"/>
          <w:sz w:val="22"/>
        </w:rPr>
        <w:t>k</w:t>
      </w:r>
      <w:r>
        <w:rPr>
          <w:rFonts w:ascii="Calibri" w:hAnsi="Calibri"/>
          <w:color w:val="111111"/>
          <w:sz w:val="22"/>
        </w:rPr>
        <w:t xml:space="preserve">'s training objective, </w:t>
      </w:r>
      <w:r>
        <w:rPr>
          <w:rFonts w:ascii="Calibri" w:hAnsi="Calibri"/>
          <w:i/>
          <w:color w:val="111111"/>
          <w:sz w:val="22"/>
        </w:rPr>
        <w:t>y</w:t>
      </w:r>
      <w:r>
        <w:rPr>
          <w:rFonts w:ascii="Calibri" w:hAnsi="Calibri"/>
          <w:i/>
          <w:color w:val="111111"/>
          <w:sz w:val="19"/>
          <w:vertAlign w:val="subscript"/>
        </w:rPr>
        <w:t>t</w:t>
      </w:r>
      <w:r>
        <w:rPr>
          <w:rFonts w:ascii="Calibri" w:hAnsi="Calibri"/>
          <w:color w:val="111111"/>
          <w:sz w:val="22"/>
        </w:rPr>
        <w:t xml:space="preserve"> the log realised variance of day </w:t>
      </w:r>
      <w:r>
        <w:rPr>
          <w:rFonts w:ascii="Calibri" w:hAnsi="Calibri"/>
          <w:i/>
          <w:color w:val="111111"/>
          <w:sz w:val="22"/>
        </w:rPr>
        <w:t>t</w:t>
      </w:r>
      <w:r>
        <w:rPr>
          <w:rFonts w:ascii="Calibri" w:hAnsi="Calibri"/>
          <w:color w:val="111111"/>
          <w:sz w:val="22"/>
        </w:rPr>
        <w:t xml:space="preserve"> on the standardised scale the networks are fitted on, </w:t>
      </w:r>
      <w:r>
        <w:rPr>
          <w:rFonts w:ascii="Calibri" w:hAnsi="Calibri"/>
          <w:i/>
          <w:color w:val="111111"/>
          <w:sz w:val="22"/>
        </w:rPr>
        <w:t>w</w:t>
      </w:r>
      <w:r>
        <w:rPr>
          <w:rFonts w:ascii="Calibri" w:hAnsi="Calibri"/>
          <w:i/>
          <w:color w:val="111111"/>
          <w:sz w:val="19"/>
          <w:vertAlign w:val="subscript"/>
        </w:rPr>
        <w:t>k,t</w:t>
      </w:r>
      <w:r>
        <w:rPr>
          <w:rFonts w:ascii="Calibri" w:hAnsi="Calibri"/>
          <w:color w:val="111111"/>
          <w:sz w:val="22"/>
        </w:rPr>
        <w:t xml:space="preserve"> the gate weight of Equation 3.3 renormalised over the training windows, and </w:t>
      </w:r>
      <w:r>
        <w:rPr>
          <w:rFonts w:ascii="Calibri" w:hAnsi="Calibri"/>
          <w:i/>
          <w:color w:val="111111"/>
          <w:sz w:val="22"/>
        </w:rPr>
        <w:t>t′</w:t>
      </w:r>
      <w:r>
        <w:rPr>
          <w:rFonts w:ascii="Calibri" w:hAnsi="Calibri"/>
          <w:color w:val="111111"/>
          <w:sz w:val="22"/>
        </w:rPr>
        <w:t xml:space="preserve"> indexes those windows. Each day therefore contributes to every expert in proportion to how strongly its state was believed active at </w:t>
      </w:r>
      <w:r>
        <w:rPr>
          <w:rFonts w:ascii="Calibri" w:hAnsi="Calibri"/>
          <w:i/>
          <w:color w:val="111111"/>
          <w:sz w:val="22"/>
        </w:rPr>
        <w:t>t</w:t>
      </w:r>
      <w:r>
        <w:rPr>
          <w:rFonts w:ascii="Calibri" w:hAnsi="Calibri"/>
          <w:color w:val="111111"/>
          <w:sz w:val="22"/>
        </w:rPr>
        <w:t>−1, so the expert for the crisis state is not confined to crisis days but weights them most heavily; and Equation 3.4 below takes its residual variance from the mixture rather than from any single expert.</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t</w:t>
      </w:r>
      <w:r>
        <w:rPr>
          <w:rFonts w:ascii="Calibri" w:cs="Calibri" w:eastAsia="Calibri" w:hAnsi="Calibri"/>
          <w:color w:val="111111"/>
          <w:sz w:val="22"/>
          <w:szCs w:val="22"/>
        </w:rPr>
        <w:t xml:space="preserve"> is the variance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rPr>
          <w:rFonts w:ascii="Calibri" w:cs="Calibri" w:eastAsia="Calibri" w:hAnsi="Calibri"/>
          <w:color w:val="111111"/>
          <w:sz w:val="22"/>
          <w:szCs w:val="22"/>
        </w:rPr>
        <w:t>Appendix A.2 assembles the board these choices produce. Every model appearing in any later table is named there, with the information it may use and the single question its presence answers, so that no result is reported for a specification the reader has not been shown. Roles are those of Table 3.1; an ablation exists to attribute an effect rather than to compete, and a sensitivity is one forecast read a second way,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only inference changes, the dropout staying active while the network runs </w:t>
      </w:r>
      <w:r>
        <w:rPr>
          <w:rFonts w:ascii="Calibri" w:cs="Calibri" w:eastAsia="Calibri" w:hAnsi="Calibri"/>
          <w:i/>
          <w:iCs/>
          <w:color w:val="111111"/>
          <w:sz w:val="22"/>
          <w:szCs w:val="22"/>
        </w:rPr>
        <w:t>B</w:t>
      </w:r>
      <w:r>
        <w:rPr>
          <w:rFonts w:ascii="Calibri" w:cs="Calibri" w:eastAsia="Calibri" w:hAnsi="Calibri"/>
          <w:color w:val="111111"/>
          <w:sz w:val="22"/>
          <w:szCs w:val="22"/>
        </w:rPr>
        <w:t xml:space="preserve"> stochastic passes. Shared weights do not make the forecast identical: the predictive mean of Equation 3.5 is the average over those passes, not the deterministic one, so the passes move the point forecast as well as widening the interval — a movement the deterministic specification below is retained to measure. </w:t>
      </w:r>
    </w:p>
    <w:p>
      <w:pPr>
        <w:spacing w:after="160" w:line="320" w:lineRule="auto"/>
        <w:jc w:val="both"/>
      </w:pPr>
      <w:r>
        <w:rPr>
          <w:rFonts w:ascii="Calibri" w:hAnsi="Calibri"/>
          <w:color w:val="111111"/>
          <w:sz w:val="22"/>
        </w:rPr>
        <w:t>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Reusing the trained weights still keeps the comparison tight: a difference in interval quality is a difference in how uncertainty is formed, not in what the network learned.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B</w:t>
      </w:r>
      <w:r>
        <w:rPr>
          <w:rFonts w:ascii="Calibri" w:cs="Calibri" w:eastAsia="Calibri" w:hAnsi="Calibri"/>
          <w:color w:val="111111"/>
          <w:sz w:val="22"/>
          <w:szCs w:val="22"/>
        </w:rPr>
        <w:t xml:space="preserve"> is the number of stochastic passes,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total predictive variance, its first term the epistemic component,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r>
        <w:rPr>
          <w:rFonts w:ascii="Calibri" w:hAnsi="Calibri"/>
          <w:color w:val="111111"/>
          <w:sz w:val="22"/>
        </w:rPr>
        <w:t xml:space="preserve"> Equation 3.4 then returns the forecast to the variance scale, with </w:t>
      </w:r>
      <w:r>
        <w:rPr>
          <w:rFonts w:ascii="Calibri" w:hAnsi="Calibri"/>
          <w:i/>
          <w:color w:val="111111"/>
          <w:sz w:val="22"/>
        </w:rPr>
        <w:t>σ̂</w:t>
      </w:r>
      <w:r>
        <w:rPr>
          <w:rFonts w:ascii="Calibri" w:hAnsi="Calibri"/>
          <w:i/>
          <w:color w:val="111111"/>
          <w:sz w:val="19"/>
          <w:vertAlign w:val="subscript"/>
        </w:rPr>
        <w:t>t</w:t>
      </w:r>
      <w:r>
        <w:rPr>
          <w:rFonts w:ascii="Calibri" w:hAnsi="Calibri"/>
          <w:i/>
          <w:color w:val="111111"/>
          <w:sz w:val="19"/>
          <w:vertAlign w:val="superscript"/>
        </w:rPr>
        <w:t>2</w:t>
      </w:r>
      <w:r>
        <w:rPr>
          <w:rFonts w:ascii="Calibri" w:hAnsi="Calibri"/>
          <w:color w:val="111111"/>
          <w:sz w:val="22"/>
        </w:rPr>
        <w:t xml:space="preserve"> in place of </w:t>
      </w:r>
      <w:r>
        <w:rPr>
          <w:rFonts w:ascii="Calibri" w:hAnsi="Calibri"/>
          <w:i/>
          <w:color w:val="111111"/>
          <w:sz w:val="22"/>
        </w:rPr>
        <w:t>σ̂</w:t>
      </w:r>
      <w:r>
        <w:rPr>
          <w:rFonts w:ascii="Calibri" w:hAnsi="Calibri"/>
          <w:i/>
          <w:color w:val="111111"/>
          <w:sz w:val="19"/>
          <w:vertAlign w:val="superscript"/>
        </w:rPr>
        <w:t>2</w:t>
      </w:r>
      <w:r>
        <w:rPr>
          <w:rFonts w:ascii="Calibri" w:hAnsi="Calibri"/>
          <w:color w:val="111111"/>
          <w:sz w:val="22"/>
        </w:rPr>
        <w:t xml:space="preserve">, so </w:t>
      </w:r>
      <w:r>
        <w:rPr>
          <w:rFonts w:ascii="Calibri" w:hAnsi="Calibri"/>
          <w:i/>
          <w:color w:val="111111"/>
          <w:sz w:val="22"/>
        </w:rPr>
        <w:t>ĥ</w:t>
      </w:r>
      <w:r>
        <w:rPr>
          <w:rFonts w:ascii="Calibri" w:hAnsi="Calibri"/>
          <w:i/>
          <w:color w:val="111111"/>
          <w:sz w:val="19"/>
          <w:vertAlign w:val="subscript"/>
        </w:rPr>
        <w:t>t</w:t>
      </w:r>
      <w:r>
        <w:rPr>
          <w:rFonts w:ascii="Calibri" w:hAnsi="Calibri"/>
          <w:color w:val="111111"/>
          <w:sz w:val="22"/>
        </w:rPr>
        <w:t xml:space="preserve"> = exp(</w:t>
      </w:r>
      <w:r>
        <w:rPr>
          <w:rFonts w:ascii="Calibri" w:hAnsi="Calibri"/>
          <w:i/>
          <w:color w:val="111111"/>
          <w:sz w:val="22"/>
        </w:rPr>
        <w:t>μ̂</w:t>
      </w:r>
      <w:r>
        <w:rPr>
          <w:rFonts w:ascii="Calibri" w:hAnsi="Calibri"/>
          <w:i/>
          <w:color w:val="111111"/>
          <w:sz w:val="19"/>
          <w:vertAlign w:val="subscript"/>
        </w:rPr>
        <w:t>t</w:t>
      </w:r>
      <w:r>
        <w:rPr>
          <w:rFonts w:ascii="Calibri" w:hAnsi="Calibri"/>
          <w:color w:val="111111"/>
          <w:sz w:val="22"/>
        </w:rPr>
        <w:t xml:space="preserve"> + ½ </w:t>
      </w:r>
      <w:r>
        <w:rPr>
          <w:rFonts w:ascii="Calibri" w:hAnsi="Calibri"/>
          <w:i/>
          <w:color w:val="111111"/>
          <w:sz w:val="22"/>
        </w:rPr>
        <w:t>σ̂</w:t>
      </w:r>
      <w:r>
        <w:rPr>
          <w:rFonts w:ascii="Calibri" w:hAnsi="Calibri"/>
          <w:i/>
          <w:color w:val="111111"/>
          <w:sz w:val="19"/>
          <w:vertAlign w:val="subscript"/>
        </w:rPr>
        <w:t>t</w:t>
      </w:r>
      <w:r>
        <w:rPr>
          <w:rFonts w:ascii="Calibri" w:hAnsi="Calibri"/>
          <w:i/>
          <w:color w:val="111111"/>
          <w:sz w:val="19"/>
          <w:vertAlign w:val="superscript"/>
        </w:rPr>
        <w:t>2</w:t>
      </w:r>
      <w:r>
        <w:rPr>
          <w:rFonts w:ascii="Calibri" w:hAnsi="Calibri"/>
          <w:color w:val="111111"/>
          <w:sz w:val="22"/>
        </w:rPr>
        <w:t>).</w:t>
      </w:r>
    </w:p>
    <w:p>
      <w:pPr>
        <w:spacing w:after="160" w:line="320"/>
        <w:jc w:val="both"/>
      </w:pPr>
      <w:r>
        <w:rPr>
          <w:rFonts w:ascii="Calibri" w:cs="Calibri" w:eastAsia="Calibri" w:hAnsi="Calibri"/>
          <w:color w:val="111111"/>
          <w:sz w:val="22"/>
          <w:szCs w:val="22"/>
        </w:rPr>
        <w:t>The comparison method assumes no distribution: one network carries a multi-quantile head trained under the pinball loss (Koenker and Bassett, 1978), monotone by construction so quantiles cannot cross, and trained at the headline band's endpoints and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Appendix A.2. A third specification, LSTM-Gaussian in Appendix A.2, is the same network's deterministic forecast with an aleatoric-only interval, isolating what the passes buy. Hyperparameters stay at the Section 3.6 values.</w:t>
      </w:r>
    </w:p>
    <w:p>
      <w:pPr>
        <w:spacing w:after="160" w:line="320" w:lineRule="auto"/>
        <w:jc w:val="both"/>
      </w:pPr>
      <w:r>
        <w:rPr>
          <w:rFonts w:ascii="Calibri" w:hAnsi="Calibri"/>
          <w:color w:val="111111"/>
          <w:sz w:val="22"/>
        </w:rPr>
        <w:t xml:space="preserve">Equations 3.4 and 3.5 state a Gaussian law on log realised variance, which induces a log-normal law on the variance scale; every interval, quantile and closed-form score below is read off it. The central interval at nominal level 1 − </w:t>
      </w:r>
      <w:r>
        <w:rPr>
          <w:rFonts w:ascii="Calibri" w:hAnsi="Calibri"/>
          <w:i/>
          <w:color w:val="111111"/>
          <w:sz w:val="22"/>
        </w:rPr>
        <w:t>α</w:t>
      </w:r>
      <w:r>
        <w:rPr>
          <w:rFonts w:ascii="Calibri" w:hAnsi="Calibri"/>
          <w:color w:val="111111"/>
          <w:sz w:val="22"/>
        </w:rPr>
        <w:t xml:space="preserve"> is</w:t>
      </w:r>
    </w:p>
    <w:p>
      <w:pPr>
        <w:tabs>
          <w:tab w:pos="4513" w:val="center"/>
          <w:tab w:pos="9026" w:val="right"/>
        </w:tabs>
        <w:spacing w:after="220" w:line="320" w:lineRule="auto"/>
      </w:pPr>
      <w:r>
        <w:rPr>
          <w:sz w:val="22"/>
        </w:rPr>
        <w:tab/>
      </w:r>
      <w:r>
        <w:rPr>
          <w:rFonts w:ascii="Cambria Math" w:hAnsi="Cambria Math"/>
          <w:i/>
          <w:color w:val="111111"/>
          <w:sz w:val="24"/>
        </w:rPr>
        <w:t>ℓ</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mbria Math" w:hAnsi="Cambria Math"/>
          <w:color w:val="111111"/>
          <w:sz w:val="24"/>
        </w:rPr>
        <w:t xml:space="preserve"> ,        </w:t>
      </w:r>
      <w:r>
        <w:rPr>
          <w:rFonts w:ascii="Cambria Math" w:hAnsi="Cambria Math"/>
          <w:i/>
          <w:color w:val="111111"/>
          <w:sz w:val="24"/>
        </w:rPr>
        <w:t>u</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color w:val="111111"/>
          <w:sz w:val="24"/>
        </w:rPr>
        <w:t xml:space="preserve">1 − </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libri" w:hAnsi="Calibri"/>
          <w:sz w:val="22"/>
        </w:rPr>
        <w:tab/>
        <w:t>(3.6)</w:t>
      </w:r>
    </w:p>
    <w:p>
      <w:pPr>
        <w:spacing w:after="160" w:line="320" w:lineRule="auto"/>
        <w:jc w:val="both"/>
      </w:pPr>
      <w:r>
        <w:rPr>
          <w:rFonts w:ascii="Calibri" w:hAnsi="Calibri"/>
          <w:color w:val="111111"/>
          <w:sz w:val="22"/>
        </w:rPr>
        <w:t xml:space="preserve">where </w:t>
      </w:r>
      <w:r>
        <w:rPr>
          <w:rFonts w:ascii="Calibri" w:hAnsi="Calibri"/>
          <w:i/>
          <w:color w:val="111111"/>
          <w:sz w:val="22"/>
        </w:rPr>
        <w:t>α</w:t>
      </w:r>
      <w:r>
        <w:rPr>
          <w:rFonts w:ascii="Calibri" w:hAnsi="Calibri"/>
          <w:color w:val="111111"/>
          <w:sz w:val="22"/>
        </w:rPr>
        <w:t xml:space="preserve"> is one minus the nominal coverage, </w:t>
      </w:r>
      <w:r>
        <w:rPr>
          <w:rFonts w:ascii="Calibri" w:hAnsi="Calibri"/>
          <w:color w:val="111111"/>
          <w:sz w:val="22"/>
        </w:rPr>
        <w:t>Φ</w:t>
      </w:r>
      <w:r>
        <w:rPr>
          <w:rFonts w:ascii="Calibri" w:hAnsi="Calibri"/>
          <w:color w:val="111111"/>
          <w:sz w:val="19"/>
          <w:vertAlign w:val="superscript"/>
        </w:rPr>
        <w:t>−1</w:t>
      </w:r>
      <w:r>
        <w:rPr>
          <w:rFonts w:ascii="Calibri" w:hAnsi="Calibri"/>
          <w:color w:val="111111"/>
          <w:sz w:val="22"/>
        </w:rPr>
        <w:t xml:space="preserve"> the standard normal quantile function, and </w:t>
      </w:r>
      <w:r>
        <w:rPr>
          <w:rFonts w:ascii="Calibri" w:hAnsi="Calibri"/>
          <w:i/>
          <w:color w:val="111111"/>
          <w:sz w:val="22"/>
        </w:rPr>
        <w:t>σ̂</w:t>
      </w:r>
      <w:r>
        <w:rPr>
          <w:rFonts w:ascii="Calibri" w:hAnsi="Calibri"/>
          <w:i/>
          <w:color w:val="111111"/>
          <w:sz w:val="19"/>
          <w:vertAlign w:val="subscript"/>
        </w:rPr>
        <w:t>t</w:t>
      </w:r>
      <w:r>
        <w:rPr>
          <w:rFonts w:ascii="Calibri" w:hAnsi="Calibri"/>
          <w:color w:val="111111"/>
          <w:sz w:val="22"/>
        </w:rPr>
        <w:t xml:space="preserve"> the square root of the predictive variance of Equation 3.5. The same law supplies the closed-form continuous ranked probability score of Section 3.7 and the mean of Equation 3.4. The quantile head states no law — its interval is the two trained quantiles themselves — which is why Section 3.7 scores the two families on a common grid before comparing them.</w:t>
      </w:r>
    </w:p>
    <w:p>
      <w:pPr>
        <w:spacing w:after="160" w:line="320"/>
        <w:jc w:val="both"/>
      </w:pPr>
      <w:r>
        <w:rPr>
          <w:rFonts w:ascii="Calibri" w:cs="Calibri" w:eastAsia="Calibri" w:hAnsi="Calibri"/>
          <w:color w:val="111111"/>
          <w:sz w:val="22"/>
          <w:szCs w:val="22"/>
        </w:rPr>
        <w:t>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not the one with the best point estimate in any single state. The smaller states rest on few days, and the most extreme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none is taken on the test block. Over it the forecasts are produced on an anchored walk-forward, the estimation window growing from the start of the sample, which beats a fixed-length rolling window because regimes recur and discarding an early crisis would leave a model with no instance of the behaviour it most needs to have seen.</w:t>
      </w:r>
    </w:p>
    <w:p>
      <w:pPr>
        <w:spacing w:after="160" w:line="320" w:lineRule="auto"/>
        <w:jc w:val="both"/>
      </w:pPr>
      <w:r>
        <w:rPr>
          <w:rFonts w:ascii="Calibri" w:hAnsi="Calibri" w:cs="Calibri" w:eastAsia="Calibri"/>
          <w:color w:val="111111"/>
          <w:sz w:val="22"/>
        </w:rPr>
        <w:t>What that walk-forward re-estimates differs by model, by design. The econometric baselines are refitted on the expanding window at a fixed monthly cadence: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elsewhere — and with a single seed the second is not measurable, so the month-to-month variation could not be attributed to either.</w:t>
      </w:r>
    </w:p>
    <w:p>
      <w:pPr>
        <w:spacing w:after="160" w:line="320" w:lineRule="auto"/>
        <w:jc w:val="both"/>
      </w:pPr>
      <w:r>
        <w:rPr>
          <w:rFonts w:ascii="Calibri" w:hAnsi="Calibri" w:cs="Calibri" w:eastAsia="Calibri"/>
          <w:color w:val="111111"/>
          <w:sz w:val="22"/>
        </w:rPr>
        <w:t>Both protocols are leakage-free: no quantity entering a forecast for a given day was computed from that day or later. They are not symmetric,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from one whose training window has gone stale. Separating the two requires refitting the network at the baselines' cadence, a sensitivity this design admits rather than resolves and which Chapter 4 reports.</w:t>
      </w:r>
    </w:p>
    <w:p>
      <w:pPr>
        <w:spacing w:after="160" w:line="320" w:lineRule="auto"/>
        <w:jc w:val="both"/>
      </w:pPr>
      <w:r>
        <w:rPr>
          <w:rFonts w:ascii="Calibri" w:hAnsi="Calibri" w:cs="Calibri" w:eastAsia="Calibri"/>
          <w:color w:val="111111"/>
          <w:sz w:val="22"/>
        </w:rPr>
        <w:t>The regime model's estimation window is shorter still: it is fitted on the training block alone — not on all pre-test data, as the networks are — and its posterior is filtered forward without refitting. Those same rows carry a selection, the state count and jump penalty of Section 3.3 being chosen on training data, so re-estimating afterwards would either reopen that choice or freeze it against a fit it no longer describes. Holding the estimation and selection windows identical is the conservative reading, and it means the regime signal at any forecast origin was estimated from strictly less information than the network consuming it.</w:t>
      </w:r>
    </w:p>
    <w:p>
      <w:pPr>
        <w:spacing w:after="160" w:line="320"/>
        <w:jc w:val="both"/>
      </w:pPr>
      <w:r>
        <w:rPr>
          <w:rFonts w:ascii="Calibri" w:cs="Calibri" w:eastAsia="Calibri" w:hAnsi="Calibri"/>
          <w:color w:val="111111"/>
          <w:sz w:val="22"/>
          <w:szCs w:val="22"/>
        </w:rPr>
        <w:t>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 Appendix A.3 states the grid, what each hyperparameter controls, how it is selected and the expected effect of increasing it.</w:t>
      </w:r>
    </w:p>
    <w:p>
      <w:pPr>
        <w:spacing w:after="160" w:line="320"/>
        <w:jc w:val="both"/>
      </w:pPr>
      <w:r>
        <w:rPr>
          <w:rFonts w:ascii="Calibri" w:cs="Calibri" w:eastAsia="Calibri" w:hAnsi="Calibri"/>
          <w:color w:val="111111"/>
          <w:sz w:val="22"/>
          <w:szCs w:val="22"/>
        </w:rPr>
        <w:t>One unswept decision in Appendix A.3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Every model is scored on the same held-out block and dates, used once, so the losses are paired as the significance tests require. Table 3.4 lists the criteria and the question each answers; most are conventional and used conventionally, so they are named and cited rather than re-derived, while two depart from standard practice and are defined below. Appendix A.4 fixes the settings at which each was run — lag rules, test sizes, bootstrap controls and seeds. Interval criteria are reported at 90% and 95% for the methods stating a predictive law, and at 90% alone for the quantile head, whose trained quantiles define that band and no other. 90% is the headline because it is the only level at which the two uncertainty methods are comparable; comparing them anywhere else would favour the parametric family by construction.</w:t>
      </w:r>
    </w:p>
    <w:p>
      <w:pPr>
        <w:spacing w:after="90" w:before="200"/>
      </w:pPr>
      <w:r>
        <w:rPr>
          <w:rFonts w:ascii="Calibri" w:cs="Calibri" w:eastAsia="Calibri" w:hAnsi="Calibri"/>
          <w:b/>
          <w:bCs/>
          <w:color w:val="111111"/>
          <w:sz w:val="19"/>
          <w:szCs w:val="19"/>
        </w:rPr>
        <w:t>Table 3.4  Evaluation criteria and the question each answers. The two departing from standard practice are defined in Equations 3.7 and 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Patton (2011); Eq. 3.7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Project-specific; Eq. 3.8, Holm (1979)</w:t>
            </w:r>
          </w:p>
        </w:tc>
      </w:tr>
    </w:tbl>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ab/>
        <w:t>(3.7)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n</w:t>
      </w:r>
      <w:r>
        <w:rPr>
          <w:rFonts w:ascii="Calibri" w:cs="Calibri" w:eastAsia="Calibri" w:hAnsi="Calibri"/>
          <w:color w:val="111111"/>
          <w:sz w:val="22"/>
          <w:szCs w:val="22"/>
        </w:rPr>
        <w:t xml:space="preserve"> is the number of evaluated days, </w:t>
      </w:r>
      <w:r>
        <w:rPr>
          <w:rFonts w:ascii="Calibri" w:cs="Calibri" w:eastAsia="Calibri" w:hAnsi="Calibri"/>
          <w:i/>
          <w:iCs/>
          <w:color w:val="111111"/>
          <w:sz w:val="22"/>
          <w:szCs w:val="22"/>
        </w:rPr>
        <w:t>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both as defined above. QLIKE is more often written without the final two terms; this form subtracts its value at a perfect forecast, so the loss is zero when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ab/>
        <w:t>(3.8)</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r>
      <w:r>
        <w:rPr>
          <w:rFonts w:ascii="Calibri" w:cs="Calibri" w:eastAsia="Calibri" w:hAnsi="Calibri"/>
          <w:i/>
          <w:iCs/>
          <w:color w:val="111111"/>
          <w:sz w:val="19"/>
          <w:szCs w:val="19"/>
          <w:vertAlign w:val="subscript"/>
        </w:rPr>
      </w:r>
      <w:r>
        <w:rPr>
          <w:rFonts w:ascii="Calibri" w:cs="Calibri" w:eastAsia="Calibri" w:hAnsi="Calibri"/>
          <w:color w:val="111111"/>
          <w:sz w:val="22"/>
          <w:szCs w:val="22"/>
        </w:rPr>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are the interval bounds,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rPr>
          <w:rFonts w:ascii="Calibri" w:cs="Calibri" w:eastAsia="Calibri" w:hAnsi="Calibri"/>
          <w:color w:val="111111"/>
          <w:sz w:val="22"/>
          <w:szCs w:val="22"/>
        </w:rPr>
        <w:t>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already carrying the level and the hit's own lags. The multiplicity family is fixed once rather than assembled per table — its dimensions are method, level and side, giving seven members, four differences in coverage and three incremental tests — so a count of rejections is read against that denominator, not against the number of rows displayed.</w:t>
      </w:r>
    </w:p>
    <w:p>
      <w:pPr>
        <w:spacing w:after="160" w:line="320"/>
        <w:jc w:val="both"/>
      </w:pPr>
      <w:r>
        <w:rPr>
          <w:rFonts w:ascii="Calibri" w:cs="Calibri" w:eastAsia="Calibri" w:hAnsi="Calibri"/>
          <w:color w:val="111111"/>
          <w:sz w:val="22"/>
          <w:szCs w:val="22"/>
        </w:rPr>
        <w:t>Two qualifications attach to the conditional predictive-ability test and are declared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the baselines, re-estimated on an expanding window, do not, so one side of every deep-versus-econometric pair sits outside the stated conditions. Its long-run covariance is also mean-centred, which makes the test mildly over-sized. Centring is retained because it is what the pairwise test uses, so the equivalence between the two at a single lag holds exactly, and Chapter 4 measures the effect against the uncentred statistic.</w:t>
      </w:r>
    </w:p>
    <w:p>
      <w:pPr>
        <w:spacing w:after="160" w:line="320"/>
        <w:jc w:val="both"/>
      </w:pPr>
      <w:r>
        <w:rPr>
          <w:rFonts w:ascii="Calibri" w:cs="Calibri" w:eastAsia="Calibri" w:hAnsi="Calibri"/>
          <w:color w:val="111111"/>
          <w:sz w:val="22"/>
          <w:szCs w:val="22"/>
        </w:rPr>
        <w:t>One criterion in Table 3.4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figures are compared across methods, and the closed form is quoted only within the parametric family.</w:t>
      </w:r>
    </w:p>
    <w:p>
      <w:pPr>
        <w:spacing w:after="160" w:line="320"/>
        <w:jc w:val="both"/>
      </w:pPr>
      <w:r>
        <w:rPr>
          <w:rFonts w:ascii="Calibri" w:cs="Calibri" w:eastAsia="Calibri" w:hAnsi="Calibri"/>
          <w:color w:val="111111"/>
          <w:sz w:val="22"/>
          <w:szCs w:val="22"/>
        </w:rPr>
        <w:t>One further quantity is reported alongside the interval criteria, at the headline level, and is a measurement rather than a test. If multiplying a fitted predictive spread by a constant improves a proper score, the spread was wrong by about that factor, and the minimising constant measures how wrong in a units-free way that neither coverage nor width supplies alone. It is found by searching the evaluation window itself, so it describes the shortfall rather than correcting it: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Appendix A.5 states the minimum configuration, each requirement following from the architectures of Section 3.4.</w:t>
      </w:r>
    </w:p>
    <w:p>
      <w:pPr>
        <w:spacing w:after="160" w:line="320"/>
        <w:jc w:val="both"/>
      </w:pPr>
      <w:r>
        <w:rPr>
          <w:rFonts w:ascii="Calibri" w:cs="Calibri" w:eastAsia="Calibri" w:hAnsi="Calibri"/>
          <w:color w:val="111111"/>
          <w:sz w:val="22"/>
          <w:szCs w:val="22"/>
        </w:rPr>
        <w:t>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an error in the method.</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rPr>
          <w:rFonts w:ascii="Calibri" w:cs="Calibri" w:eastAsia="Calibri" w:hAnsi="Calibri"/>
          <w:color w:val="111111"/>
          <w:sz w:val="22"/>
          <w:szCs w:val="22"/>
        </w:rPr>
        <w:t>RQ4 asks whether the answers to RQ1–RQ3 are properties of the method or of the market it was developed on. It is answered on a deliberately reduced design, and the reduction is what makes it a check rather than a second study: the econometric baselines and a single deep model, on a target constructed identically, under the same losses and the same tests. That model is the regime-conditioned architecture chosen by the rule stated in Section 3.5 — selected on the one state where the regime effect is both large and carried by a formal test, rather than on the lowest pooled loss, so it need not be the top-ranked model on the primary asset. Re-running the full board would multiply comparisons without adding evidence about transfer.</w:t>
      </w:r>
    </w:p>
    <w:p>
      <w:pPr>
        <w:spacing w:after="160" w:line="320"/>
        <w:jc w:val="both"/>
      </w:pPr>
      <w:r>
        <w:rPr>
          <w:rFonts w:ascii="Calibri" w:cs="Calibri" w:eastAsia="Calibri" w:hAnsi="Calibri"/>
          <w:color w:val="111111"/>
          <w:sz w:val="22"/>
          <w:szCs w:val="22"/>
        </w:rPr>
        <w:t>Three requirements make that check meaningful rather than mechanical. The regime model is re-estimated on each asset rather than carried across, a state path fitted to one market's return distribution not being a description of another's; transferring it would test the map rather than the method. The auxiliary implied-volatility input is dropped wherever the available index prices options on a different market, since that would be a spillover experiment rather than the feature ablation of Section 3.4 — a requirement Table 3.2 already places on the input series. And the modelling frame is assembled by an inner join across sources, so an asset trading on a different exchange calendar yields a different sample; the rows lost to that join are reported rather than absorbed silently.</w:t>
      </w:r>
    </w:p>
    <w:p>
      <w:pPr>
        <w:spacing w:after="160" w:line="320"/>
        <w:jc w:val="both"/>
      </w:pPr>
      <w:r>
        <w:rPr>
          <w:rFonts w:ascii="Calibri" w:cs="Calibri" w:eastAsia="Calibri" w:hAnsi="Calibri"/>
          <w:color w:val="111111"/>
          <w:sz w:val="22"/>
          <w:szCs w:val="22"/>
        </w:rPr>
        <w:t>What the design can establish is bounded, and the bound is worth stating before any result is read. Agreement across markets is evidence that a finding is not an artefact of one series. Disagreement identifies a finding as market-specific without saying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rPr>
          <w:rFonts w:ascii="Calibri" w:cs="Calibri" w:eastAsia="Calibri" w:hAnsi="Calibri"/>
          <w:color w:val="111111"/>
          <w:sz w:val="22"/>
          <w:szCs w:val="22"/>
        </w:rPr>
        <w:t>A design is only as credible as its account of what could undermine it. Table 3.5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spacing w:after="160" w:line="320"/>
        <w:jc w:val="both"/>
      </w:pPr>
      <w:r>
        <w:rPr>
          <w:rFonts w:ascii="Calibri" w:cs="Calibri" w:eastAsia="Calibri" w:hAnsi="Calibri"/>
          <w:color w:val="111111"/>
          <w:sz w:val="22"/>
          <w:szCs w:val="22"/>
        </w:rPr>
        <w:t xml:space="preserve">The ethical position follows from the data, and is stated here rather than assumed. Both sources are publicly published market aggregates, so no personal data is processed and no privacy or data-protection obligation arises; fairness in the sense the machine-learning literature uses it, concerning decisions taken about identifiable individuals, does not apply. What does apply is the asymmetry noted in Section 3.1: an interval that is too narrow understates risk, and that cost falls on whoever bears the exposure rather than on whoever fits the model — which is why calibration is reported beside accuracy, and by state rather than pooled.</w:t>
      </w:r>
    </w:p>
    <w:p>
      <w:pPr>
        <w:pStyle w:val="Heading2"/>
        <w:spacing w:after="180" w:before="320"/>
      </w:pPr>
      <w:r>
        <w:rPr>
          <w:rFonts w:ascii="Calibri" w:cs="Calibri" w:eastAsia="Calibri" w:hAnsi="Calibri"/>
          <w:b/>
          <w:bCs/>
          <w:color w:val="111111"/>
          <w:sz w:val="26"/>
          <w:szCs w:val="26"/>
        </w:rPr>
        <w:t xml:space="preserve">3.11  Chapter Summary</w:t>
      </w:r>
    </w:p>
    <w:p>
      <w:pPr>
        <w:spacing w:after="160" w:line="320"/>
        <w:jc w:val="both"/>
      </w:pPr>
      <w:r>
        <w:rPr>
          <w:rFonts w:ascii="Calibri" w:cs="Calibri" w:eastAsia="Calibri" w:hAnsi="Calibri"/>
          <w:color w:val="111111"/>
          <w:sz w:val="22"/>
          <w:szCs w:val="22"/>
        </w:rPr>
        <w:t>This chapter has specified a controlled comparative evaluation in which one component varies at a time: Section 3.2 fixes the data interface and the realised-variance target, Section 3.3 the causal jump-penalised regime signal, Section 3.4 the model specifications that turn each research question into a contrast, Section 3.5 the two uncertainty layers, Section 3.6 the leakage-free training protocol, and Section 3.7 the losses and tests. Each research question maps back to the objectives of Section 1.5 that answer it, and forward to specific evidence: RQ1 (objectives i and ii) to the QLIKE ranking with its Diebold–Mariano tests and the Model Confidence Set; RQ2 (objective iii) to the Giacomini–White test of conditional predictive ability and the per-state breakdown; RQ3 (objective iv) to coverage, width, the proper scores and the interval backtests; and RQ4 (no objective of its own) to the reduced replication of Section 3.9. Section 3.10 states what none of it can establish, and the ethical position the data implies. Chapter 4 reports the values these procedures return.</w:t>
      </w:r>
    </w:p>
    <w:p>
      <w:pPr>
        <w:pStyle w:val="Heading1"/>
        <w:spacing w:before="320" w:after="180"/>
      </w:pPr>
      <w:r>
        <w:rPr>
          <w:rFonts w:ascii="Calibri" w:hAnsi="Calibri"/>
          <w:b/>
        </w:rPr>
        <w:t>References</w:t>
      </w:r>
    </w:p>
    <w:p>
      <w:pPr>
        <w:spacing w:after="160" w:line="320" w:lineRule="auto"/>
        <w:ind w:left="567" w:hanging="567"/>
        <w:jc w:val="left"/>
      </w:pPr>
      <w:r>
        <w:rPr>
          <w:rFonts w:ascii="Calibri" w:hAnsi="Calibri" w:cs="Calibri" w:eastAsia="Calibri"/>
          <w:color w:val="111111"/>
          <w:sz w:val="22"/>
        </w:rPr>
        <w:t xml:space="preserve">Andersen, T.G., Bollerslev, T., Diebold, F.X. and Labys, P., 2003. Modeling and forecasting realized volatility. </w:t>
      </w:r>
      <w:r>
        <w:rPr>
          <w:rFonts w:ascii="Calibri" w:hAnsi="Calibri" w:cs="Calibri" w:eastAsia="Calibri"/>
          <w:i/>
          <w:color w:val="111111"/>
          <w:sz w:val="22"/>
        </w:rPr>
        <w:t>Econometrica</w:t>
      </w:r>
      <w:r>
        <w:rPr>
          <w:rFonts w:ascii="Calibri" w:hAnsi="Calibri" w:cs="Calibri" w:eastAsia="Calibri"/>
          <w:color w:val="111111"/>
          <w:sz w:val="22"/>
        </w:rPr>
        <w:t>, 71(2), pp.579–625. https://doi.org/10.1111/1468-0262.00418</w:t>
      </w:r>
    </w:p>
    <w:p>
      <w:pPr>
        <w:spacing w:after="160" w:line="320" w:lineRule="auto"/>
        <w:ind w:left="567" w:hanging="567"/>
        <w:jc w:val="left"/>
      </w:pPr>
      <w:r>
        <w:rPr>
          <w:rFonts w:ascii="Calibri" w:hAnsi="Calibri" w:cs="Calibri" w:eastAsia="Calibri"/>
          <w:color w:val="111111"/>
          <w:sz w:val="22"/>
        </w:rPr>
        <w:t xml:space="preserve">Bergstra, J. and Bengio, Y., 2012. Random search for hyper-parameter optimization. </w:t>
      </w:r>
      <w:r>
        <w:rPr>
          <w:rFonts w:ascii="Calibri" w:hAnsi="Calibri" w:cs="Calibri" w:eastAsia="Calibri"/>
          <w:i/>
          <w:color w:val="111111"/>
          <w:sz w:val="22"/>
        </w:rPr>
        <w:t>Journal of Machine Learning Research</w:t>
      </w:r>
      <w:r>
        <w:rPr>
          <w:rFonts w:ascii="Calibri" w:hAnsi="Calibri" w:cs="Calibri" w:eastAsia="Calibri"/>
          <w:color w:val="111111"/>
          <w:sz w:val="22"/>
        </w:rPr>
        <w:t>, 13(10), pp.281–305. https://jmlr.org/papers/v13/bergstra12a.html</w:t>
      </w:r>
    </w:p>
    <w:p>
      <w:pPr>
        <w:spacing w:after="160" w:line="320" w:lineRule="auto"/>
        <w:ind w:left="567" w:hanging="567"/>
        <w:jc w:val="left"/>
      </w:pPr>
      <w:r>
        <w:rPr>
          <w:rFonts w:ascii="Calibri" w:hAnsi="Calibri" w:cs="Calibri" w:eastAsia="Calibri"/>
          <w:color w:val="111111"/>
          <w:sz w:val="22"/>
        </w:rPr>
        <w:t xml:space="preserve">Bollerslev, T., 1986. Generalized autoregressive conditional heteroskedasticity. </w:t>
      </w:r>
      <w:r>
        <w:rPr>
          <w:rFonts w:ascii="Calibri" w:hAnsi="Calibri" w:cs="Calibri" w:eastAsia="Calibri"/>
          <w:i/>
          <w:color w:val="111111"/>
          <w:sz w:val="22"/>
        </w:rPr>
        <w:t>Journal of Econometrics</w:t>
      </w:r>
      <w:r>
        <w:rPr>
          <w:rFonts w:ascii="Calibri" w:hAnsi="Calibri" w:cs="Calibri" w:eastAsia="Calibri"/>
          <w:color w:val="111111"/>
          <w:sz w:val="22"/>
        </w:rPr>
        <w:t>, 31(3), pp.307–327. https://doi.org/10.1016/0304-4076(86)90063-1</w:t>
      </w:r>
    </w:p>
    <w:p>
      <w:pPr>
        <w:spacing w:after="160" w:line="320" w:lineRule="auto"/>
        <w:ind w:left="567" w:hanging="567"/>
        <w:jc w:val="left"/>
      </w:pPr>
      <w:r>
        <w:rPr>
          <w:rFonts w:ascii="Calibri" w:hAnsi="Calibri" w:cs="Calibri" w:eastAsia="Calibri"/>
          <w:color w:val="111111"/>
          <w:sz w:val="22"/>
        </w:rPr>
        <w:t xml:space="preserve">Christoffersen, P.F., 1998. Evaluating interval forecasts. </w:t>
      </w:r>
      <w:r>
        <w:rPr>
          <w:rFonts w:ascii="Calibri" w:hAnsi="Calibri" w:cs="Calibri" w:eastAsia="Calibri"/>
          <w:i/>
          <w:color w:val="111111"/>
          <w:sz w:val="22"/>
        </w:rPr>
        <w:t>International Economic Review</w:t>
      </w:r>
      <w:r>
        <w:rPr>
          <w:rFonts w:ascii="Calibri" w:hAnsi="Calibri" w:cs="Calibri" w:eastAsia="Calibri"/>
          <w:color w:val="111111"/>
          <w:sz w:val="22"/>
        </w:rPr>
        <w:t>, 39(4), pp.841–862. https://doi.org/10.2307/2527341</w:t>
      </w:r>
    </w:p>
    <w:p>
      <w:pPr>
        <w:spacing w:after="160" w:line="320" w:lineRule="auto"/>
        <w:ind w:left="567" w:hanging="567"/>
        <w:jc w:val="left"/>
      </w:pPr>
      <w:r>
        <w:rPr>
          <w:rFonts w:ascii="Calibri" w:hAnsi="Calibri" w:cs="Calibri" w:eastAsia="Calibri"/>
          <w:color w:val="111111"/>
          <w:sz w:val="22"/>
        </w:rPr>
        <w:t xml:space="preserve">Corsi, F., 2009. A simple approximate long-memory model of realized volatility. </w:t>
      </w:r>
      <w:r>
        <w:rPr>
          <w:rFonts w:ascii="Calibri" w:hAnsi="Calibri" w:cs="Calibri" w:eastAsia="Calibri"/>
          <w:i/>
          <w:color w:val="111111"/>
          <w:sz w:val="22"/>
        </w:rPr>
        <w:t>Journal of Financial Econometrics</w:t>
      </w:r>
      <w:r>
        <w:rPr>
          <w:rFonts w:ascii="Calibri" w:hAnsi="Calibri" w:cs="Calibri" w:eastAsia="Calibri"/>
          <w:color w:val="111111"/>
          <w:sz w:val="22"/>
        </w:rPr>
        <w:t>, 7(2), pp.174–196. https://doi.org/10.1093/jjfinec/nbp001</w:t>
      </w:r>
    </w:p>
    <w:p>
      <w:pPr>
        <w:spacing w:after="160" w:line="320" w:lineRule="auto"/>
        <w:ind w:left="567" w:hanging="567"/>
        <w:jc w:val="left"/>
      </w:pPr>
      <w:r>
        <w:rPr>
          <w:rFonts w:ascii="Calibri" w:hAnsi="Calibri" w:cs="Calibri" w:eastAsia="Calibri"/>
          <w:color w:val="111111"/>
          <w:sz w:val="22"/>
        </w:rPr>
        <w:t xml:space="preserve">Diebold, F.X. and Mariano, R.S., 1995. Comparing predictive accuracy. </w:t>
      </w:r>
      <w:r>
        <w:rPr>
          <w:rFonts w:ascii="Calibri" w:hAnsi="Calibri" w:cs="Calibri" w:eastAsia="Calibri"/>
          <w:i/>
          <w:color w:val="111111"/>
          <w:sz w:val="22"/>
        </w:rPr>
        <w:t>Journal of Business &amp; Economic Statistics</w:t>
      </w:r>
      <w:r>
        <w:rPr>
          <w:rFonts w:ascii="Calibri" w:hAnsi="Calibri" w:cs="Calibri" w:eastAsia="Calibri"/>
          <w:color w:val="111111"/>
          <w:sz w:val="22"/>
        </w:rPr>
        <w:t>, 13(3), pp.253–263. https://doi.org/10.1080/07350015.1995.10524599</w:t>
      </w:r>
    </w:p>
    <w:p>
      <w:pPr>
        <w:spacing w:after="160" w:line="320" w:lineRule="auto"/>
        <w:ind w:left="567" w:hanging="567"/>
        <w:jc w:val="left"/>
      </w:pPr>
      <w:r>
        <w:rPr>
          <w:rFonts w:ascii="Calibri" w:hAnsi="Calibri" w:cs="Calibri" w:eastAsia="Calibri"/>
          <w:color w:val="111111"/>
          <w:sz w:val="22"/>
        </w:rPr>
        <w:t xml:space="preserve">Duan, N., 1983. Smearing estimate: a nonparametric retransformation method.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78(383), pp.605–610. https://doi.org/10.1080/01621459.1983.10478017</w:t>
      </w:r>
    </w:p>
    <w:p>
      <w:pPr>
        <w:spacing w:after="160" w:line="320" w:lineRule="auto"/>
        <w:ind w:left="567" w:hanging="567"/>
        <w:jc w:val="left"/>
      </w:pPr>
      <w:r>
        <w:rPr>
          <w:rFonts w:ascii="Calibri" w:hAnsi="Calibri" w:cs="Calibri" w:eastAsia="Calibri"/>
          <w:color w:val="111111"/>
          <w:sz w:val="22"/>
        </w:rPr>
        <w:t xml:space="preserve">Engle, R.F. and Manganelli, S., 2004. CAViaR: conditional autoregressive value at risk by regression quantiles. </w:t>
      </w:r>
      <w:r>
        <w:rPr>
          <w:rFonts w:ascii="Calibri" w:hAnsi="Calibri" w:cs="Calibri" w:eastAsia="Calibri"/>
          <w:i/>
          <w:color w:val="111111"/>
          <w:sz w:val="22"/>
        </w:rPr>
        <w:t>Journal of Business &amp; Economic Statistics</w:t>
      </w:r>
      <w:r>
        <w:rPr>
          <w:rFonts w:ascii="Calibri" w:hAnsi="Calibri" w:cs="Calibri" w:eastAsia="Calibri"/>
          <w:color w:val="111111"/>
          <w:sz w:val="22"/>
        </w:rPr>
        <w:t>, 22(4), pp.367–381. https://doi.org/10.1198/073500104000000370</w:t>
      </w:r>
    </w:p>
    <w:p>
      <w:pPr>
        <w:spacing w:after="160" w:line="320" w:lineRule="auto"/>
        <w:ind w:left="567" w:hanging="567"/>
        <w:jc w:val="left"/>
      </w:pPr>
      <w:r>
        <w:rPr>
          <w:rFonts w:ascii="Calibri" w:hAnsi="Calibri" w:cs="Calibri" w:eastAsia="Calibri"/>
          <w:color w:val="111111"/>
          <w:sz w:val="22"/>
        </w:rPr>
        <w:t xml:space="preserve">Gal, Y. and Ghahramani, Z., 2016. Dropout as a Bayesian approximation: representing model uncertainty in deep learning. In: </w:t>
      </w:r>
      <w:r>
        <w:rPr>
          <w:rFonts w:ascii="Calibri" w:hAnsi="Calibri" w:cs="Calibri" w:eastAsia="Calibri"/>
          <w:i/>
          <w:color w:val="111111"/>
          <w:sz w:val="22"/>
        </w:rPr>
        <w:t>Proceedings of the 33rd International Conference on Machine Learning (ICML)</w:t>
      </w:r>
      <w:r>
        <w:rPr>
          <w:rFonts w:ascii="Calibri" w:hAnsi="Calibri" w:cs="Calibri" w:eastAsia="Calibri"/>
          <w:color w:val="111111"/>
          <w:sz w:val="22"/>
        </w:rPr>
        <w:t>, New York, USA, 19–24 June 2016. PMLR 48, pp.1050–1059.</w:t>
      </w:r>
    </w:p>
    <w:p>
      <w:pPr>
        <w:spacing w:after="160" w:line="320" w:lineRule="auto"/>
        <w:ind w:left="567" w:hanging="567"/>
        <w:jc w:val="left"/>
      </w:pPr>
      <w:r>
        <w:rPr>
          <w:rFonts w:ascii="Calibri" w:hAnsi="Calibri" w:cs="Calibri" w:eastAsia="Calibri"/>
          <w:color w:val="111111"/>
          <w:sz w:val="22"/>
        </w:rPr>
        <w:t xml:space="preserve">Giacomini, R. and White, H., 2006. Tests of conditional predictive ability. </w:t>
      </w:r>
      <w:r>
        <w:rPr>
          <w:rFonts w:ascii="Calibri" w:hAnsi="Calibri" w:cs="Calibri" w:eastAsia="Calibri"/>
          <w:i/>
          <w:color w:val="111111"/>
          <w:sz w:val="22"/>
        </w:rPr>
        <w:t>Econometrica</w:t>
      </w:r>
      <w:r>
        <w:rPr>
          <w:rFonts w:ascii="Calibri" w:hAnsi="Calibri" w:cs="Calibri" w:eastAsia="Calibri"/>
          <w:color w:val="111111"/>
          <w:sz w:val="22"/>
        </w:rPr>
        <w:t>, 74(6), pp.1545–1578. https://doi.org/10.1111/j.1468-0262.2006.00718.x</w:t>
      </w:r>
    </w:p>
    <w:p>
      <w:pPr>
        <w:spacing w:after="160" w:line="320" w:lineRule="auto"/>
        <w:ind w:left="567" w:hanging="567"/>
        <w:jc w:val="left"/>
      </w:pPr>
      <w:r>
        <w:rPr>
          <w:rFonts w:ascii="Calibri" w:hAnsi="Calibri" w:cs="Calibri" w:eastAsia="Calibri"/>
          <w:color w:val="111111"/>
          <w:sz w:val="22"/>
        </w:rPr>
        <w:t xml:space="preserve">Gneiting, T. and Raftery, A.E., 2007. Strictly proper scoring rules, prediction, and estimation.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xml:space="preserve">, 102(477), pp.359–378. </w:t>
      </w:r>
      <w:r>
        <w:rPr>
          <w:rFonts w:ascii="Calibri" w:hAnsi="Calibri" w:cs="Calibri" w:eastAsia="Calibri"/>
          <w:color w:val="111111"/>
          <w:sz w:val="22"/>
        </w:rPr>
        <w:t>https://doi.org/10.1198/016214506000001437</w:t>
      </w:r>
    </w:p>
    <w:p>
      <w:pPr>
        <w:spacing w:after="160" w:line="320" w:lineRule="auto"/>
        <w:ind w:left="567" w:hanging="567"/>
        <w:jc w:val="left"/>
      </w:pPr>
      <w:r>
        <w:rPr>
          <w:rFonts w:ascii="Calibri" w:hAnsi="Calibri" w:cs="Calibri" w:eastAsia="Calibri"/>
          <w:color w:val="111111"/>
          <w:sz w:val="22"/>
        </w:rPr>
        <w:t xml:space="preserve">Hamilton, J.D., 1989. A new approach to the economic analysis of nonstationary time series and the business cycle. </w:t>
      </w:r>
      <w:r>
        <w:rPr>
          <w:rFonts w:ascii="Calibri" w:hAnsi="Calibri" w:cs="Calibri" w:eastAsia="Calibri"/>
          <w:i/>
          <w:color w:val="111111"/>
          <w:sz w:val="22"/>
        </w:rPr>
        <w:t>Econometrica</w:t>
      </w:r>
      <w:r>
        <w:rPr>
          <w:rFonts w:ascii="Calibri" w:hAnsi="Calibri" w:cs="Calibri" w:eastAsia="Calibri"/>
          <w:color w:val="111111"/>
          <w:sz w:val="22"/>
        </w:rPr>
        <w:t>, 57(2), pp.357–384. https://doi.org/10.2307/1912559</w:t>
      </w:r>
    </w:p>
    <w:p>
      <w:pPr>
        <w:spacing w:after="160" w:line="320" w:lineRule="auto"/>
        <w:ind w:left="567" w:hanging="567"/>
        <w:jc w:val="left"/>
      </w:pPr>
      <w:r>
        <w:rPr>
          <w:rFonts w:ascii="Calibri" w:hAnsi="Calibri" w:cs="Calibri" w:eastAsia="Calibri"/>
          <w:color w:val="111111"/>
          <w:sz w:val="22"/>
        </w:rPr>
        <w:t xml:space="preserve">Hansen, P.R., Lunde, A. and Nason, J.M., 2011. The model confidence set. </w:t>
      </w:r>
      <w:r>
        <w:rPr>
          <w:rFonts w:ascii="Calibri" w:hAnsi="Calibri" w:cs="Calibri" w:eastAsia="Calibri"/>
          <w:i/>
          <w:color w:val="111111"/>
          <w:sz w:val="22"/>
        </w:rPr>
        <w:t>Econometrica</w:t>
      </w:r>
      <w:r>
        <w:rPr>
          <w:rFonts w:ascii="Calibri" w:hAnsi="Calibri" w:cs="Calibri" w:eastAsia="Calibri"/>
          <w:color w:val="111111"/>
          <w:sz w:val="22"/>
        </w:rPr>
        <w:t>, 79(2), pp.453–497. https://doi.org/10.3982/ECTA5771</w:t>
      </w:r>
    </w:p>
    <w:p>
      <w:pPr>
        <w:spacing w:after="160" w:line="320" w:lineRule="auto"/>
        <w:ind w:left="567" w:hanging="567"/>
        <w:jc w:val="left"/>
      </w:pPr>
      <w:r>
        <w:rPr>
          <w:rFonts w:ascii="Calibri" w:hAnsi="Calibri" w:cs="Calibri" w:eastAsia="Calibri"/>
          <w:color w:val="111111"/>
          <w:sz w:val="22"/>
        </w:rPr>
        <w:t xml:space="preserve">Harvey, D., Leybourne, S. and Newbold, P., 1997. Testing the equality of prediction mean squared errors. </w:t>
      </w:r>
      <w:r>
        <w:rPr>
          <w:rFonts w:ascii="Calibri" w:hAnsi="Calibri" w:cs="Calibri" w:eastAsia="Calibri"/>
          <w:i/>
          <w:color w:val="111111"/>
          <w:sz w:val="22"/>
        </w:rPr>
        <w:t>International Journal of Forecasting</w:t>
      </w:r>
      <w:r>
        <w:rPr>
          <w:rFonts w:ascii="Calibri" w:hAnsi="Calibri" w:cs="Calibri" w:eastAsia="Calibri"/>
          <w:color w:val="111111"/>
          <w:sz w:val="22"/>
        </w:rPr>
        <w:t>, 13(2), pp.281–291. https://doi.org/10.1016/S0169-2070(96)00719-4</w:t>
      </w:r>
    </w:p>
    <w:p>
      <w:pPr>
        <w:spacing w:after="160" w:line="320" w:lineRule="auto"/>
        <w:ind w:left="567" w:hanging="567"/>
        <w:jc w:val="left"/>
      </w:pPr>
      <w:r>
        <w:rPr>
          <w:rFonts w:ascii="Calibri" w:hAnsi="Calibri" w:cs="Calibri" w:eastAsia="Calibri"/>
          <w:color w:val="111111"/>
          <w:sz w:val="22"/>
        </w:rPr>
        <w:t xml:space="preserve">Hochreiter, S. and Schmidhuber, J., 1997. </w:t>
      </w:r>
      <w:r>
        <w:rPr>
          <w:rFonts w:ascii="Calibri" w:hAnsi="Calibri" w:cs="Calibri" w:eastAsia="Calibri"/>
          <w:color w:val="111111"/>
          <w:sz w:val="22"/>
        </w:rPr>
        <w:t xml:space="preserve">Long short-term memory. </w:t>
      </w:r>
      <w:r>
        <w:rPr>
          <w:rFonts w:ascii="Calibri" w:hAnsi="Calibri" w:cs="Calibri" w:eastAsia="Calibri"/>
          <w:i/>
          <w:color w:val="111111"/>
          <w:sz w:val="22"/>
        </w:rPr>
        <w:t>Neural Computation</w:t>
      </w:r>
      <w:r>
        <w:rPr>
          <w:rFonts w:ascii="Calibri" w:hAnsi="Calibri" w:cs="Calibri" w:eastAsia="Calibri"/>
          <w:color w:val="111111"/>
          <w:sz w:val="22"/>
        </w:rPr>
        <w:t>, 9(8), pp.1735–1780. https://doi.org/10.1162/neco.1997.9.8.1735</w:t>
      </w:r>
    </w:p>
    <w:p>
      <w:pPr>
        <w:spacing w:after="160" w:line="320" w:lineRule="auto"/>
        <w:ind w:left="567" w:hanging="567"/>
        <w:jc w:val="left"/>
      </w:pPr>
      <w:r>
        <w:rPr>
          <w:rFonts w:ascii="Calibri" w:hAnsi="Calibri" w:cs="Calibri" w:eastAsia="Calibri"/>
          <w:color w:val="111111"/>
          <w:sz w:val="22"/>
        </w:rPr>
        <w:t xml:space="preserve">Holm, S., 1979. A simple sequentially rejective multiple test procedure. </w:t>
      </w:r>
      <w:r>
        <w:rPr>
          <w:rFonts w:ascii="Calibri" w:hAnsi="Calibri" w:cs="Calibri" w:eastAsia="Calibri"/>
          <w:i/>
          <w:color w:val="111111"/>
          <w:sz w:val="22"/>
        </w:rPr>
        <w:t>Scandinavian Journal of Statistics</w:t>
      </w:r>
      <w:r>
        <w:rPr>
          <w:rFonts w:ascii="Calibri" w:hAnsi="Calibri" w:cs="Calibri" w:eastAsia="Calibri"/>
          <w:color w:val="111111"/>
          <w:sz w:val="22"/>
        </w:rPr>
        <w:t>, 6(2), pp.65–70.</w:t>
      </w:r>
    </w:p>
    <w:p>
      <w:pPr>
        <w:spacing w:after="160" w:line="320" w:lineRule="auto"/>
        <w:ind w:left="567" w:hanging="567"/>
        <w:jc w:val="left"/>
      </w:pPr>
      <w:r>
        <w:rPr>
          <w:rFonts w:ascii="Calibri" w:hAnsi="Calibri" w:cs="Calibri" w:eastAsia="Calibri"/>
          <w:color w:val="111111"/>
          <w:sz w:val="22"/>
        </w:rPr>
        <w:t xml:space="preserve">Jacobs, R.A., Jordan, M.I., Nowlan, S.J. and Hinton, G.E., 1991. Adaptive mixtures of local experts. </w:t>
      </w:r>
      <w:r>
        <w:rPr>
          <w:rFonts w:ascii="Calibri" w:hAnsi="Calibri" w:cs="Calibri" w:eastAsia="Calibri"/>
          <w:i/>
          <w:color w:val="111111"/>
          <w:sz w:val="22"/>
        </w:rPr>
        <w:t>Neural Computation</w:t>
      </w:r>
      <w:r>
        <w:rPr>
          <w:rFonts w:ascii="Calibri" w:hAnsi="Calibri" w:cs="Calibri" w:eastAsia="Calibri"/>
          <w:color w:val="111111"/>
          <w:sz w:val="22"/>
        </w:rPr>
        <w:t>, 3(1), pp.79–87. https://doi.org/10.1162/neco.1991.3.1.79</w:t>
      </w:r>
    </w:p>
    <w:p>
      <w:pPr>
        <w:spacing w:after="160" w:line="320" w:lineRule="auto"/>
        <w:ind w:left="567" w:hanging="567"/>
        <w:jc w:val="left"/>
      </w:pPr>
      <w:r>
        <w:rPr>
          <w:rFonts w:ascii="Calibri" w:hAnsi="Calibri" w:cs="Calibri" w:eastAsia="Calibri"/>
          <w:color w:val="111111"/>
          <w:sz w:val="22"/>
        </w:rPr>
        <w:t xml:space="preserve">Koenker, R. and Bassett, G., 1978. Regression quantiles. </w:t>
      </w:r>
      <w:r>
        <w:rPr>
          <w:rFonts w:ascii="Calibri" w:hAnsi="Calibri" w:cs="Calibri" w:eastAsia="Calibri"/>
          <w:i/>
          <w:color w:val="111111"/>
          <w:sz w:val="22"/>
        </w:rPr>
        <w:t>Econometrica</w:t>
      </w:r>
      <w:r>
        <w:rPr>
          <w:rFonts w:ascii="Calibri" w:hAnsi="Calibri" w:cs="Calibri" w:eastAsia="Calibri"/>
          <w:color w:val="111111"/>
          <w:sz w:val="22"/>
        </w:rPr>
        <w:t>, 46(1), pp.33–50. https://doi.org/10.2307/1913643</w:t>
      </w:r>
    </w:p>
    <w:p>
      <w:pPr>
        <w:spacing w:after="160" w:line="320" w:lineRule="auto"/>
        <w:ind w:left="567" w:hanging="567"/>
        <w:jc w:val="left"/>
      </w:pPr>
      <w:r>
        <w:rPr>
          <w:rFonts w:ascii="Calibri" w:hAnsi="Calibri" w:cs="Calibri" w:eastAsia="Calibri"/>
          <w:color w:val="111111"/>
          <w:sz w:val="22"/>
        </w:rPr>
        <w:t xml:space="preserve">Kupiec, P.H., 1995. Techniques for verifying the accuracy of risk measurement models. </w:t>
      </w:r>
      <w:r>
        <w:rPr>
          <w:rFonts w:ascii="Calibri" w:hAnsi="Calibri" w:cs="Calibri" w:eastAsia="Calibri"/>
          <w:i/>
          <w:color w:val="111111"/>
          <w:sz w:val="22"/>
        </w:rPr>
        <w:t>The Journal of Derivatives</w:t>
      </w:r>
      <w:r>
        <w:rPr>
          <w:rFonts w:ascii="Calibri" w:hAnsi="Calibri" w:cs="Calibri" w:eastAsia="Calibri"/>
          <w:color w:val="111111"/>
          <w:sz w:val="22"/>
        </w:rPr>
        <w:t>, 3(2), pp.73–84. https://doi.org/10.3905/jod.1995.407942</w:t>
      </w:r>
    </w:p>
    <w:p>
      <w:pPr>
        <w:spacing w:after="160" w:line="320" w:lineRule="auto"/>
        <w:ind w:left="567" w:hanging="567"/>
        <w:jc w:val="left"/>
      </w:pPr>
      <w:r>
        <w:rPr>
          <w:rFonts w:ascii="Calibri" w:hAnsi="Calibri" w:cs="Calibri" w:eastAsia="Calibri"/>
          <w:color w:val="111111"/>
          <w:sz w:val="22"/>
        </w:rPr>
        <w:t xml:space="preserve">Lim, B. and Zohren, S., 2021. Time-series forecasting with deep learning: a survey. </w:t>
      </w:r>
      <w:r>
        <w:rPr>
          <w:rFonts w:ascii="Calibri" w:hAnsi="Calibri" w:cs="Calibri" w:eastAsia="Calibri"/>
          <w:i/>
          <w:color w:val="111111"/>
          <w:sz w:val="22"/>
        </w:rPr>
        <w:t>Philosophical Transactions of the Royal Society A</w:t>
      </w:r>
      <w:r>
        <w:rPr>
          <w:rFonts w:ascii="Calibri" w:hAnsi="Calibri" w:cs="Calibri" w:eastAsia="Calibri"/>
          <w:color w:val="111111"/>
          <w:sz w:val="22"/>
        </w:rPr>
        <w:t xml:space="preserve">, 379(2194), 20200209. </w:t>
      </w:r>
      <w:r>
        <w:rPr>
          <w:rFonts w:ascii="Calibri" w:hAnsi="Calibri" w:cs="Calibri" w:eastAsia="Calibri"/>
          <w:color w:val="111111"/>
          <w:sz w:val="22"/>
        </w:rPr>
        <w:t>https://doi.org/10.1098/rsta.2020.0209</w:t>
      </w:r>
    </w:p>
    <w:p>
      <w:pPr>
        <w:spacing w:after="160" w:line="320" w:lineRule="auto"/>
        <w:ind w:left="567" w:hanging="567"/>
        <w:jc w:val="left"/>
      </w:pPr>
      <w:r>
        <w:rPr>
          <w:rFonts w:ascii="Calibri" w:hAnsi="Calibri" w:cs="Calibri" w:eastAsia="Calibri"/>
          <w:color w:val="111111"/>
          <w:sz w:val="22"/>
        </w:rPr>
        <w:t xml:space="preserve">Lim, B., Arık, S.Ö., Loeff, N. and Pfister, T., 2021. Temporal fusion transformers for interpretable multi-horizon time series forecasting. </w:t>
      </w:r>
      <w:r>
        <w:rPr>
          <w:rFonts w:ascii="Calibri" w:hAnsi="Calibri" w:cs="Calibri" w:eastAsia="Calibri"/>
          <w:i/>
          <w:color w:val="111111"/>
          <w:sz w:val="22"/>
        </w:rPr>
        <w:t>International Journal of Forecasting</w:t>
      </w:r>
      <w:r>
        <w:rPr>
          <w:rFonts w:ascii="Calibri" w:hAnsi="Calibri" w:cs="Calibri" w:eastAsia="Calibri"/>
          <w:color w:val="111111"/>
          <w:sz w:val="22"/>
        </w:rPr>
        <w:t>, 37(4), pp.1748–1764. https://doi.org/10.1016/j.ijforecast.2021.03.012</w:t>
      </w:r>
    </w:p>
    <w:p>
      <w:pPr>
        <w:spacing w:after="160" w:line="320" w:lineRule="auto"/>
        <w:ind w:left="567" w:hanging="567"/>
        <w:jc w:val="left"/>
      </w:pPr>
      <w:r>
        <w:rPr>
          <w:rFonts w:ascii="Calibri" w:hAnsi="Calibri" w:cs="Calibri" w:eastAsia="Calibri"/>
          <w:color w:val="111111"/>
          <w:sz w:val="22"/>
        </w:rPr>
        <w:t xml:space="preserve">Liu, L.Y., Patton, A.J. and Sheppard, K., 2015. Does anything beat 5-minute RV? A comparison of realized measures across multiple asset classes. </w:t>
      </w:r>
      <w:r>
        <w:rPr>
          <w:rFonts w:ascii="Calibri" w:hAnsi="Calibri" w:cs="Calibri" w:eastAsia="Calibri"/>
          <w:i/>
          <w:color w:val="111111"/>
          <w:sz w:val="22"/>
        </w:rPr>
        <w:t>Journal of Econometrics</w:t>
      </w:r>
      <w:r>
        <w:rPr>
          <w:rFonts w:ascii="Calibri" w:hAnsi="Calibri" w:cs="Calibri" w:eastAsia="Calibri"/>
          <w:color w:val="111111"/>
          <w:sz w:val="22"/>
        </w:rPr>
        <w:t>, 187(1), pp.293–311. https://doi.org/10.1016/j.jeconom.2015.02.008</w:t>
      </w:r>
    </w:p>
    <w:p>
      <w:pPr>
        <w:spacing w:after="160" w:line="320" w:lineRule="auto"/>
        <w:ind w:left="567" w:hanging="567"/>
        <w:jc w:val="left"/>
      </w:pPr>
      <w:r>
        <w:rPr>
          <w:rFonts w:ascii="Calibri" w:hAnsi="Calibri" w:cs="Calibri" w:eastAsia="Calibri"/>
          <w:color w:val="111111"/>
          <w:sz w:val="22"/>
        </w:rPr>
        <w:t xml:space="preserve">Nelson, D.B., 1991. Conditional heteroskedasticity in asset returns: a new approach. </w:t>
      </w:r>
      <w:r>
        <w:rPr>
          <w:rFonts w:ascii="Calibri" w:hAnsi="Calibri" w:cs="Calibri" w:eastAsia="Calibri"/>
          <w:i/>
          <w:color w:val="111111"/>
          <w:sz w:val="22"/>
        </w:rPr>
        <w:t>Econometrica</w:t>
      </w:r>
      <w:r>
        <w:rPr>
          <w:rFonts w:ascii="Calibri" w:hAnsi="Calibri" w:cs="Calibri" w:eastAsia="Calibri"/>
          <w:color w:val="111111"/>
          <w:sz w:val="22"/>
        </w:rPr>
        <w:t>, 59(2), pp.347–370. https://doi.org/10.2307/2938260</w:t>
      </w:r>
    </w:p>
    <w:p>
      <w:pPr>
        <w:spacing w:after="160" w:line="320" w:lineRule="auto"/>
        <w:ind w:left="567" w:hanging="567"/>
        <w:jc w:val="left"/>
      </w:pPr>
      <w:r>
        <w:rPr>
          <w:rFonts w:ascii="Calibri" w:hAnsi="Calibri" w:cs="Calibri" w:eastAsia="Calibri"/>
          <w:color w:val="111111"/>
          <w:sz w:val="22"/>
        </w:rPr>
        <w:t xml:space="preserve">Newey, W.K. and West, K.D., 1987. A simple, positive semi-definite, heteroskedasticity and autocorrelation consistent covariance matrix. </w:t>
      </w:r>
      <w:r>
        <w:rPr>
          <w:rFonts w:ascii="Calibri" w:hAnsi="Calibri" w:cs="Calibri" w:eastAsia="Calibri"/>
          <w:i/>
          <w:color w:val="111111"/>
          <w:sz w:val="22"/>
        </w:rPr>
        <w:t>Econometrica</w:t>
      </w:r>
      <w:r>
        <w:rPr>
          <w:rFonts w:ascii="Calibri" w:hAnsi="Calibri" w:cs="Calibri" w:eastAsia="Calibri"/>
          <w:color w:val="111111"/>
          <w:sz w:val="22"/>
        </w:rPr>
        <w:t>, 55(3), pp.703–708. https://doi.org/10.2307/1913610</w:t>
      </w:r>
    </w:p>
    <w:p>
      <w:pPr>
        <w:spacing w:after="160" w:line="320" w:lineRule="auto"/>
        <w:ind w:left="567" w:hanging="567"/>
        <w:jc w:val="left"/>
      </w:pPr>
      <w:r>
        <w:rPr>
          <w:rFonts w:ascii="Calibri" w:hAnsi="Calibri" w:cs="Calibri" w:eastAsia="Calibri"/>
          <w:color w:val="111111"/>
          <w:sz w:val="22"/>
        </w:rPr>
        <w:t xml:space="preserve">Nystrup, P., Lindström, E. and Madsen, H., 2020. Learning hidden Markov models with persistent states by penalizing jumps. </w:t>
      </w:r>
      <w:r>
        <w:rPr>
          <w:rFonts w:ascii="Calibri" w:hAnsi="Calibri" w:cs="Calibri" w:eastAsia="Calibri"/>
          <w:i/>
          <w:color w:val="111111"/>
          <w:sz w:val="22"/>
        </w:rPr>
        <w:t>Expert Systems with Applications</w:t>
      </w:r>
      <w:r>
        <w:rPr>
          <w:rFonts w:ascii="Calibri" w:hAnsi="Calibri" w:cs="Calibri" w:eastAsia="Calibri"/>
          <w:color w:val="111111"/>
          <w:sz w:val="22"/>
        </w:rPr>
        <w:t>, 150, 113307. https://doi.org/10.1016/j.eswa.2020.113307</w:t>
      </w:r>
    </w:p>
    <w:p>
      <w:pPr>
        <w:spacing w:after="160" w:line="320" w:lineRule="auto"/>
        <w:ind w:left="567" w:hanging="567"/>
        <w:jc w:val="left"/>
      </w:pPr>
      <w:r>
        <w:rPr>
          <w:rFonts w:ascii="Calibri" w:hAnsi="Calibri" w:cs="Calibri" w:eastAsia="Calibri"/>
          <w:color w:val="111111"/>
          <w:sz w:val="22"/>
        </w:rPr>
        <w:t xml:space="preserve">Patton, A.J., 2011. Volatility forecast comparison using imperfect volatility proxies. </w:t>
      </w:r>
      <w:r>
        <w:rPr>
          <w:rFonts w:ascii="Calibri" w:hAnsi="Calibri" w:cs="Calibri" w:eastAsia="Calibri"/>
          <w:i/>
          <w:color w:val="111111"/>
          <w:sz w:val="22"/>
        </w:rPr>
        <w:t>Journal of Econometrics</w:t>
      </w:r>
      <w:r>
        <w:rPr>
          <w:rFonts w:ascii="Calibri" w:hAnsi="Calibri" w:cs="Calibri" w:eastAsia="Calibri"/>
          <w:color w:val="111111"/>
          <w:sz w:val="22"/>
        </w:rPr>
        <w:t xml:space="preserve">, 160(1), pp.246–256. https://doi.org/10.1016/j.jeconom.2010.03.034 </w:t>
      </w:r>
    </w:p>
    <w:p>
      <w:pPr>
        <w:spacing w:after="160" w:line="320" w:lineRule="auto"/>
        <w:ind w:left="567" w:hanging="567"/>
        <w:jc w:val="left"/>
      </w:pPr>
      <w:r>
        <w:rPr>
          <w:rFonts w:ascii="Calibri" w:hAnsi="Calibri" w:cs="Calibri" w:eastAsia="Calibri"/>
          <w:color w:val="111111"/>
          <w:sz w:val="22"/>
        </w:rPr>
        <w:t xml:space="preserve">Politis, D.N. and Romano, J.P., 1994. The stationary bootstrap.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89(428), pp.1303–1313. https://doi.org/10.1080/01621459.1994.10476870</w:t>
      </w:r>
    </w:p>
    <w:p>
      <w:pPr>
        <w:spacing w:after="160" w:line="320" w:lineRule="auto"/>
        <w:ind w:left="567" w:hanging="567"/>
        <w:jc w:val="left"/>
      </w:pPr>
      <w:r>
        <w:rPr>
          <w:rFonts w:ascii="Calibri" w:hAnsi="Calibri" w:cs="Calibri" w:eastAsia="Calibri"/>
          <w:color w:val="111111"/>
          <w:sz w:val="22"/>
        </w:rPr>
        <w:t xml:space="preserve">Vaswani, A., Shazeer, N., Parmar, N., Uszkoreit, J., Jones, L., Gomez, A.N., Kaiser, Ł. and Polosukhin, I., 2017. Attention is all you need. In: </w:t>
      </w:r>
      <w:r>
        <w:rPr>
          <w:rFonts w:ascii="Calibri" w:hAnsi="Calibri" w:cs="Calibri" w:eastAsia="Calibri"/>
          <w:i/>
          <w:color w:val="111111"/>
          <w:sz w:val="22"/>
        </w:rPr>
        <w:t>Advances in Neural Information Processing Systems 30 (NeurIPS 2017)</w:t>
      </w:r>
      <w:r>
        <w:rPr>
          <w:rFonts w:ascii="Calibri" w:hAnsi="Calibri" w:cs="Calibri" w:eastAsia="Calibri"/>
          <w:color w:val="111111"/>
          <w:sz w:val="22"/>
        </w:rPr>
        <w:t>.</w:t>
      </w:r>
    </w:p>
    <w:p>
      <w:pPr>
        <w:spacing w:after="160" w:line="320" w:lineRule="auto"/>
        <w:ind w:left="567" w:hanging="567"/>
        <w:jc w:val="left"/>
      </w:pPr>
      <w:r>
        <w:rPr>
          <w:rFonts w:ascii="Calibri" w:hAnsi="Calibri" w:cs="Calibri" w:eastAsia="Calibri"/>
          <w:color w:val="111111"/>
          <w:sz w:val="22"/>
        </w:rPr>
        <w:t xml:space="preserve">Zeng, A., Chen, M., Zhang, L. and Xu, Q., 2023. Are transformers effective for time series forecasting? </w:t>
      </w:r>
      <w:r>
        <w:rPr>
          <w:rFonts w:ascii="Calibri" w:hAnsi="Calibri" w:cs="Calibri" w:eastAsia="Calibri"/>
          <w:i/>
          <w:color w:val="111111"/>
          <w:sz w:val="22"/>
        </w:rPr>
        <w:t>Proceedings of the AAAI Conference on Artificial Intelligence</w:t>
      </w:r>
      <w:r>
        <w:rPr>
          <w:rFonts w:ascii="Calibri" w:hAnsi="Calibri" w:cs="Calibri" w:eastAsia="Calibri"/>
          <w:color w:val="111111"/>
          <w:sz w:val="22"/>
        </w:rP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