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A8D4" w14:textId="77777777" w:rsidR="008A3CB1" w:rsidRDefault="008A3CB1" w:rsidP="008A3CB1">
      <w:pPr>
        <w:pStyle w:val="Heading1"/>
        <w:spacing w:line="360" w:lineRule="auto"/>
      </w:pPr>
      <w:bookmarkStart w:id="0" w:name="chapter-2-literature-review"/>
      <w:r>
        <w:t>Chapter 2: Literature Review</w:t>
      </w:r>
      <w:bookmarkEnd w:id="0"/>
    </w:p>
    <w:p w14:paraId="2D09C607" w14:textId="77777777" w:rsidR="008A3CB1" w:rsidRDefault="008A3CB1" w:rsidP="008A3CB1">
      <w:pPr>
        <w:pStyle w:val="Heading2"/>
        <w:spacing w:line="360" w:lineRule="auto"/>
      </w:pPr>
      <w:bookmarkStart w:id="1" w:name="overview"/>
      <w:r>
        <w:t>2.1 Overview</w:t>
      </w:r>
      <w:bookmarkEnd w:id="1"/>
    </w:p>
    <w:p w14:paraId="6AFEBB81" w14:textId="77777777" w:rsidR="008A3CB1" w:rsidRDefault="008A3CB1" w:rsidP="008A3CB1">
      <w:pPr>
        <w:spacing w:line="360" w:lineRule="auto"/>
      </w:pPr>
      <w:r>
        <w:t xml:space="preserve">The volatility-forecasting literature has accumulated for four decades along four substantially independent tracks. The </w:t>
      </w:r>
      <w:r>
        <w:rPr>
          <w:b/>
        </w:rPr>
        <w:t>parametric econometric</w:t>
      </w:r>
      <w:r>
        <w:t xml:space="preserve"> tradition, originating in the ARCH model of Engle (1982) and maturing into the GARCH family of conditional-variance specifications, supplies the parsimonious baselines against which any new proposal must be measured. The </w:t>
      </w:r>
      <w:r>
        <w:rPr>
          <w:b/>
        </w:rPr>
        <w:t>regime-switching</w:t>
      </w:r>
      <w:r>
        <w:t xml:space="preserve"> tradition treats markets as transitioning between qualitatively distinct latent states and supplies the inferential machinery for extracting them from observed returns.</w:t>
      </w:r>
    </w:p>
    <w:p w14:paraId="496C3036" w14:textId="77777777" w:rsidR="008A3CB1" w:rsidRDefault="008A3CB1" w:rsidP="008A3CB1">
      <w:pPr>
        <w:spacing w:line="360" w:lineRule="auto"/>
      </w:pPr>
      <w:r>
        <w:t xml:space="preserve">The </w:t>
      </w:r>
      <w:r>
        <w:rPr>
          <w:b/>
        </w:rPr>
        <w:t>deep-learning</w:t>
      </w:r>
      <w:r>
        <w:t xml:space="preserve"> tradition, built on the Long Short-Term Memory cell, supplies the non-linear sequence model that learns the residual structure within those states. The </w:t>
      </w:r>
      <w:r>
        <w:rPr>
          <w:b/>
        </w:rPr>
        <w:t>probabilistic-machine-learning</w:t>
      </w:r>
      <w:r>
        <w:t xml:space="preserve"> tradition addresses the uncertainty of neural predictions through stochastic forward passes and direct quantile estimation, converting point forecasts into calibrated predictive distributions. Underpinning all four, the realised-volatility framework of Andersen, Bollerslev, Diebold and Labys (2003) defines the dependent variable, Patton (2011) supplies the proxy-robust loss functions, and Diebold and Mariano (1995) with Giacomini and White (2006) supply the inferential apparatus for pairwise forecast comparison.</w:t>
      </w:r>
    </w:p>
    <w:p w14:paraId="56825445" w14:textId="77777777" w:rsidR="008A3CB1" w:rsidRDefault="008A3CB1" w:rsidP="008A3CB1">
      <w:pPr>
        <w:spacing w:line="360" w:lineRule="auto"/>
      </w:pPr>
      <w:r>
        <w:t>Two broader paradigms lie outside this scope and are acknowledged rather than surveyed, namely option-implied volatility, which extracts forward-looking variance from traded option prices in the manner of the VIX and its model-free successors, and the ultra-high-frequency modelling of the tick-by-tick price process under market-microstructure noise. Both are substantial literatures in their own right, but each targets a different measurement object and is deliberately scoped out to keep the empirical pipeline focused squarely on daily realised volatility constructed from intraday returns.</w:t>
      </w:r>
    </w:p>
    <w:p w14:paraId="60E7ADEF" w14:textId="77777777" w:rsidR="008A3CB1" w:rsidRDefault="008A3CB1" w:rsidP="008A3CB1">
      <w:pPr>
        <w:spacing w:line="360" w:lineRule="auto"/>
      </w:pPr>
      <w:r>
        <w:t xml:space="preserve">Each paper is included because it directly supports a specific design decision in Chapter 3, by establishing an empirical phenomenon the model must reproduce, defining a benchmark, supplying the technical apparatus on which the implementation rests, or marking a competing approach that the design weighs and sets aside. The chapter proceeds by workstream, Section 2.2 reviews the empirical foundations of conditional volatility, Section 2.3 treats realised volatility and proxy-robust evaluation, Section 2.4 surveys regime-switching dynamics, Section 2.5 considers deep learning for financial time series, Section 2.6 examines </w:t>
      </w:r>
      <w:r>
        <w:lastRenderedPageBreak/>
        <w:t>uncertainty quantification, Section 2.7 covers forecast-comparison methodology and Section 2.8 synthesises the gap the dissertation addresses.</w:t>
      </w:r>
    </w:p>
    <w:p w14:paraId="3308A5FB" w14:textId="77777777" w:rsidR="008A3CB1" w:rsidRDefault="008A3CB1" w:rsidP="008A3CB1">
      <w:pPr>
        <w:pStyle w:val="Heading2"/>
        <w:spacing w:line="360" w:lineRule="auto"/>
      </w:pPr>
      <w:bookmarkStart w:id="2" w:name="Xdb0b12761a3df46991c3459d4f44373dbcd670f"/>
      <w:r>
        <w:t>2.2 Empirical Foundations of Conditional Volatility</w:t>
      </w:r>
      <w:bookmarkEnd w:id="2"/>
    </w:p>
    <w:p w14:paraId="6DD46732" w14:textId="77777777" w:rsidR="008A3CB1" w:rsidRDefault="008A3CB1" w:rsidP="008A3CB1">
      <w:pPr>
        <w:spacing w:line="360" w:lineRule="auto"/>
      </w:pPr>
      <w:r>
        <w:t>Any credible model of asset-return volatility must reproduce a small set of stylised empirical facts now widely accepted across asset classes. These include approximately uncorrelated returns despite strong serial dependence in their absolute and squared values, a leptokurtic and heavy-tailed unconditional distribution, volatility clustering, whereby large price movements are followed by further large movements of either sign, and the tendency for negative shocks to increase future variance more than positive shocks of equal magnitude (Cont, 2001).They are structural features, a specification that fails to capture them misprices tail risk and underreacts to crises.</w:t>
      </w:r>
    </w:p>
    <w:p w14:paraId="0887E147" w14:textId="77777777" w:rsidR="008A3CB1" w:rsidRDefault="008A3CB1" w:rsidP="008A3CB1">
      <w:pPr>
        <w:spacing w:line="360" w:lineRule="auto"/>
      </w:pPr>
      <w:r>
        <w:t>They serve two purposes for the present dissertation. First, they define the empirical contract against which the GARCH baselines and the deep models of Section 2.5 are judged, second they justify the move toward regime-aware estimation, since the magnitude and persistence of these features differ qualitatively across market environments and cannot be captured by a single parametric specification calibrated to the full sample.</w:t>
      </w:r>
    </w:p>
    <w:p w14:paraId="5FDA1ADC" w14:textId="77777777" w:rsidR="008A3CB1" w:rsidRDefault="008A3CB1" w:rsidP="008A3CB1">
      <w:pPr>
        <w:spacing w:line="360" w:lineRule="auto"/>
      </w:pPr>
      <w:r>
        <w:t>The most durable parametric response to those features is the Generalised Autoregressive Conditional Heteroskedasticity model of Bollerslev (1986), which builds directly on Engle’s (1982) ARCH framework by expressing conditional variance as a linear function of past squared residuals and past conditional variances. The GARCH(1,1) specification reduces this to two parameters with a clean economic interpretation which are a short-run shock-response component and a longer-run persistence component alongside a closed-form unconditional variance.</w:t>
      </w:r>
    </w:p>
    <w:p w14:paraId="4D45615B" w14:textId="77777777" w:rsidR="008A3CB1" w:rsidRDefault="008A3CB1" w:rsidP="008A3CB1">
      <w:pPr>
        <w:spacing w:line="360" w:lineRule="auto"/>
      </w:pPr>
      <w:r>
        <w:t>Its limitations are well documented, including the tendency of Gaussian innovations to understate tail risk, the inability of the symmetric variance equation to accommodate the leverage effect, and the implicit assumption that a single parameter vector remains stable across market regimes. The principal alternative that is the parameter-driven stochastic-volatility tradition (Taylor, 1986), is set aside because its likelihood demands simulation-based filtering (Kim, Shephard and Chib, 1998), whereas the observation-driven GARCH variance is estimated directly. The model is adopted as the dissertation’s primary econometric baseline not for its sophistication but as the standard any alternative must beat.</w:t>
      </w:r>
    </w:p>
    <w:p w14:paraId="79B4CE6D" w14:textId="77777777" w:rsidR="008A3CB1" w:rsidRDefault="008A3CB1" w:rsidP="008A3CB1">
      <w:pPr>
        <w:spacing w:line="360" w:lineRule="auto"/>
      </w:pPr>
      <w:r>
        <w:lastRenderedPageBreak/>
        <w:t>The leverage effect which is the tendency of negative shocks to raise future variance more than positive shocks of equal magnitude, drew two competing parametric responses that are most informative read against each other rather than in isolation. The Exponential GARCH (EGARCH) of Nelson (1991) models the logarithm of conditional variance, which guarantees positivity without imposing parameter restrictions and so removes a recurrent source of numerical instability in extended GARCH-family models, because innovations enter through both their sign and their magnitude, asymmetry is captured by a smooth functional form.</w:t>
      </w:r>
    </w:p>
    <w:p w14:paraId="28601ACB" w14:textId="77777777" w:rsidR="008A3CB1" w:rsidRDefault="008A3CB1" w:rsidP="008A3CB1">
      <w:pPr>
        <w:spacing w:line="360" w:lineRule="auto"/>
      </w:pPr>
      <w:r>
        <w:t>The GJR-GARCH of Glosten, Jagannathan and Runkle (1993) reaches the same target by a different route, keeping the variance in levels and adding a single threshold term that activates only for negative shocks which is more parsimonious, but discontinuous.</w:t>
      </w:r>
    </w:p>
    <w:p w14:paraId="09F0A681" w14:textId="77777777" w:rsidR="008A3CB1" w:rsidRDefault="008A3CB1" w:rsidP="008A3CB1">
      <w:pPr>
        <w:spacing w:line="360" w:lineRule="auto"/>
      </w:pPr>
      <w:r>
        <w:t>The two encode an identical stylised fact through contrasting mechanisms, and, as the large-scale comparison discussed below shows, the literature has never decisively separated them. EGARCH is adopted here as the second econometric baseline because it isolates one dimension along which GARCH(1,1) is demonstrably deficient. Comparing the proposed regime-aware deep model with both GARCH(1,1) and EGARCH then tests whether any improvement reflects genuine non-linear learning of regime-dependent dynamics or simply the model's ability to capture asymmetric responses that an asymmetric parametric specification already represents within a single regime.</w:t>
      </w:r>
    </w:p>
    <w:p w14:paraId="703064A6" w14:textId="77777777" w:rsidR="008A3CB1" w:rsidRDefault="008A3CB1" w:rsidP="008A3CB1">
      <w:pPr>
        <w:spacing w:line="360" w:lineRule="auto"/>
      </w:pPr>
      <w:r>
        <w:t>The bar that any new volatility forecast must clear remains high, and the most cited evidence on the matter is Hansen and Lunde’s (2005) comparison of 330 GARCH-family specifications on exchange-rate and equity data. For exchange-rate volatility their conclusion was uncompromising, where under proxy-robust loss functions, none of the elaborate specifications they evaluated produced a statistically significant improvement over the basic GARCH(1,1). The equity result was more nuanced, with asymmetric specifications such as EGARCH and GJR-GARCH sometimes preferred (the empirical counterpart to the rivalry set out above).</w:t>
      </w:r>
    </w:p>
    <w:p w14:paraId="0B922094" w14:textId="77777777" w:rsidR="008A3CB1" w:rsidRDefault="008A3CB1" w:rsidP="008A3CB1">
      <w:pPr>
        <w:spacing w:line="360" w:lineRule="auto"/>
      </w:pPr>
      <w:r>
        <w:t xml:space="preserve">The implication is direct, an alternative model must not merely fit better in-sample but deliver consistent out-of-sample gains that survive statistical scrutiny under proxy-robust losses. One caveat tempers how much weight this benchmark can bear. The comparison is now two decades old and was conducted largely on daily-return proxies rather than the high-frequency realised-volatility targets used here. Whether the GARCH(1,1) floor still binds in the present setting is therefore an open question, one the dissertation treats as testable rather than settled, and a further reason to retain GARCH(1,1) and EGARCH as live baselines </w:t>
      </w:r>
      <w:r>
        <w:lastRenderedPageBreak/>
        <w:t>rather than assume their adequacy. This evidence also motivates the rigorous pairwise significance testing of Section 2.7.</w:t>
      </w:r>
    </w:p>
    <w:p w14:paraId="7FF8935F" w14:textId="77777777" w:rsidR="008A3CB1" w:rsidRDefault="008A3CB1" w:rsidP="008A3CB1">
      <w:pPr>
        <w:spacing w:line="360" w:lineRule="auto"/>
      </w:pPr>
    </w:p>
    <w:p w14:paraId="7E3A99E5" w14:textId="77777777" w:rsidR="008A3CB1" w:rsidRDefault="008A3CB1" w:rsidP="008A3CB1">
      <w:pPr>
        <w:pStyle w:val="Heading2"/>
        <w:spacing w:line="360" w:lineRule="auto"/>
      </w:pPr>
      <w:bookmarkStart w:id="3" w:name="X6a674fe5361fec0b03881d7accfdc05a4ff0d1d"/>
      <w:r>
        <w:t>2.3 Realised Volatility and Proxy-Robust Evaluation</w:t>
      </w:r>
      <w:bookmarkEnd w:id="3"/>
    </w:p>
    <w:p w14:paraId="292EE619" w14:textId="77777777" w:rsidR="008A3CB1" w:rsidRDefault="008A3CB1" w:rsidP="008A3CB1">
      <w:pPr>
        <w:spacing w:line="360" w:lineRule="auto"/>
      </w:pPr>
      <w:r>
        <w:t>The most consequential shift in the volatility-forecasting literature of the past two decades was the recognition that, with high-frequency data, volatility ceases to be a latent quantity that must be inferred under parametric assumptions and becomes approximately observable. Andersen, Bollerslev, Diebold and Labys (2003) made the argument rigorous by showing that the sum of squared intraday returns over a daily window (the realised variance) converges, under standard regularity conditions, to the integrated variance of the underlying diffusion process, and therefore furnishes a nearly model-free estimator of the latent target.</w:t>
      </w:r>
    </w:p>
    <w:p w14:paraId="073E02F6" w14:textId="77777777" w:rsidR="008A3CB1" w:rsidRDefault="008A3CB1" w:rsidP="008A3CB1">
      <w:pPr>
        <w:spacing w:line="360" w:lineRule="auto"/>
      </w:pPr>
      <w:r>
        <w:t>That observability is only approximate, where at high frequencies, microstructure noise biases the naive realised variance, motivating sparse five-minute sampling and the noise-robust two-scales estimator (Zhang, Mykland and Aït-Sahalia, 2005) and realised kernels (Barndorff-Nielsen, Hansen, Lunde and Shephard, 2008). With realised volatility as the dependent variable, the target is no longer a noisy function of squared daily returns but a smoother, less leptokurtic series that is materially easier to forecast (Corsi, 2009).</w:t>
      </w:r>
    </w:p>
    <w:p w14:paraId="71043B7B" w14:textId="77777777" w:rsidR="008A3CB1" w:rsidRDefault="008A3CB1" w:rsidP="008A3CB1">
      <w:pPr>
        <w:spacing w:line="360" w:lineRule="auto"/>
      </w:pPr>
      <w:r>
        <w:t>It is also on this observable target, rather than on return-based proxies, that neural architectures have most consistently outperformed parametric alternatives (Bucci, 2020; Christensen, Siggaard and Veliyev, 2023). The present dissertation accordingly adopts daily realised volatility, constructed from intraday returns in the Andersen et al. (2003) sense, as the dependent variable throughout. For the S&amp;P 500, this target is obtained from the Oxford-Man Realized Library (Heber et al., 2009), which publishes five-minute realised variance for major indices.</w:t>
      </w:r>
    </w:p>
    <w:p w14:paraId="4A6ACCA7" w14:textId="77777777" w:rsidR="008A3CB1" w:rsidRDefault="008A3CB1" w:rsidP="008A3CB1">
      <w:pPr>
        <w:spacing w:line="360" w:lineRule="auto"/>
      </w:pPr>
      <w:r>
        <w:t>Once realised volatility becomes the target, the choice of loss function acquires direct inferential consequence. Patton (2011) establishes that, when conditional variance is unobserved and replaced by a noisy proxy, only a restricted family of loss functions yields forecast rankings robust to proxy noise. Mean squared error remains valid and the QLIKE loss enjoys particularly attractive properties, whereas losses outside this family can reverse the ordering of two models depending on how the proxy is constructed.</w:t>
      </w:r>
    </w:p>
    <w:p w14:paraId="7E39FCF4" w14:textId="77777777" w:rsidR="008A3CB1" w:rsidRDefault="008A3CB1" w:rsidP="008A3CB1">
      <w:pPr>
        <w:spacing w:line="360" w:lineRule="auto"/>
      </w:pPr>
      <w:r>
        <w:t xml:space="preserve">QLIKE suits volatility because it penalises under-prediction more heavily than over-prediction, aligning the objective with the asymmetric cost of underestimating risk. On the </w:t>
      </w:r>
      <w:r>
        <w:lastRenderedPageBreak/>
        <w:t>strength of Patton’s (2011) analysis the dissertation adopts QLIKE as its primary out-of-sample metric, with mean squared error reported as a robustness check.</w:t>
      </w:r>
    </w:p>
    <w:p w14:paraId="11AA1820" w14:textId="77777777" w:rsidR="008A3CB1" w:rsidRDefault="008A3CB1" w:rsidP="008A3CB1">
      <w:pPr>
        <w:spacing w:line="360" w:lineRule="auto"/>
      </w:pPr>
      <w:r>
        <w:t>A second methodological development of equal practical importance is the heterogeneous autoregressive model of realised volatility of Corsi (2009), which decomposes the conditional expectation of daily realised variance into linear contributions from daily, weekly and monthly lagged components. Although strictly an approximation rather than a true long-memory specification, the heterogeneous structure captures the persistence of realised volatility parsimoniously and routinely matches or exceeds more elaborate fractionally integrated alternatives on equity indices.</w:t>
      </w:r>
    </w:p>
    <w:p w14:paraId="456C444A" w14:textId="77777777" w:rsidR="008A3CB1" w:rsidRDefault="008A3CB1" w:rsidP="008A3CB1">
      <w:pPr>
        <w:spacing w:line="360" w:lineRule="auto"/>
      </w:pPr>
      <w:r>
        <w:t>Its extensions including the measurement-error-corrected HARQ (Bollerslev, Patton and Quaedvlieg, 2016) and the joint return-and-RV model Realized GARCH (Hansen, Huang and Shek, 2012), refine but do not displace it. HAR-RV has become the de facto benchmark in the modern realised-volatility literature and is included in this dissertation as a third econometric baseline alongside GARCH(1,1) and EGARCH. A deep-learning forecaster that fails to beat HAR-RV on its native target is not a credible alternative, however well it compares against return-based GARCH.</w:t>
      </w:r>
    </w:p>
    <w:p w14:paraId="65849B5B" w14:textId="77777777" w:rsidR="008A3CB1" w:rsidRDefault="008A3CB1" w:rsidP="008A3CB1">
      <w:pPr>
        <w:pStyle w:val="Heading2"/>
        <w:spacing w:line="360" w:lineRule="auto"/>
      </w:pPr>
      <w:bookmarkStart w:id="4" w:name="regime-switching-dynamics"/>
      <w:r>
        <w:t>2.4 Regime-Switching Dynamics</w:t>
      </w:r>
      <w:bookmarkEnd w:id="4"/>
    </w:p>
    <w:p w14:paraId="2B48CF0C" w14:textId="77777777" w:rsidR="008A3CB1" w:rsidRDefault="008A3CB1" w:rsidP="008A3CB1">
      <w:pPr>
        <w:spacing w:line="360" w:lineRule="auto"/>
      </w:pPr>
      <w:r>
        <w:t>The empirical proposition that financial markets transition between qualitatively distinct dynamic regimes is older than the deep-learning literature by half a century, and its formal econometric foundation is the Markov-switching model of Hamilton (1989). Treating the data-generating process for a non-stationary series as a mixture of stationary processes governed by an unobservable discrete state that evolves as a first-order Markov chain, the model captures abrupt regime changes, such as recessions, monetary-policy shifts and financial crises, that single-regime specifications cannot accommodate, and admits efficient maximum-likelihood estimation through the filter that bears his name.</w:t>
      </w:r>
    </w:p>
    <w:p w14:paraId="233BC2CC" w14:textId="77777777" w:rsidR="008A3CB1" w:rsidRDefault="008A3CB1" w:rsidP="008A3CB1">
      <w:pPr>
        <w:spacing w:line="360" w:lineRule="auto"/>
      </w:pPr>
      <w:r w:rsidRPr="00D54AF2">
        <w:t>While smoothed state probabilities provide interpretable retrospective inference for historical analysis (ex-post narrative), forecasting applications should instead rely on filtered state probabilities. Filtered state probabilities estimate the active regime using only information available up to each point in time, thereby avoiding look-ahead bias. Within this forecasting framework</w:t>
      </w:r>
      <w:r>
        <w:t xml:space="preserve">, the dissertation adopts a </w:t>
      </w:r>
      <w:r>
        <w:rPr>
          <w:b/>
        </w:rPr>
        <w:t>Gaussian-emission Hidden Markov Model</w:t>
      </w:r>
      <w:r>
        <w:t xml:space="preserve"> rather than a Markov-switching autoregression, where each regime is parameterised as a Gaussian distribution over standardised daily log returns.</w:t>
      </w:r>
    </w:p>
    <w:p w14:paraId="46ACD1DE" w14:textId="77777777" w:rsidR="008A3CB1" w:rsidRDefault="008A3CB1" w:rsidP="008A3CB1">
      <w:pPr>
        <w:spacing w:line="360" w:lineRule="auto"/>
      </w:pPr>
      <w:r>
        <w:lastRenderedPageBreak/>
        <w:t>The choice is deliberate. The Gaussian-emission form keeps the regime model deliberately simple, leaving the non-linear within-regime structure to be modelled downstream by the LSTM (Section 2.5), and avoiding the identification difficulties that arise when both the switching dynamics and the within-regime dynamics are estimated jointly under a richer emission family. Whether regime-switching improves out-of-sample forecasts is contested, Dacco and Satchell (1999) found such models forecasting poorly despite strong in-sample fit, though regimes add value in asset allocation (Ang and Bekaert, 2002). The dissertation accordingly tests this rather than assuming it.</w:t>
      </w:r>
    </w:p>
    <w:p w14:paraId="6EFC0F9B" w14:textId="77777777" w:rsidR="008A3CB1" w:rsidRDefault="008A3CB1" w:rsidP="008A3CB1">
      <w:pPr>
        <w:spacing w:line="360" w:lineRule="auto"/>
      </w:pPr>
      <w:r>
        <w:t>Regime identification is itself an inferential problem with non-trivial robustness implications, and Nystrup, Lindstrom and Madsen (2020) sharpen the practical case for Hidden Markov regime detection in finance by isolating one of its most persistent pathologies. Standard maximum-likelihood estimation switches states more rapidly than the data warrant, contaminating any forecast that conditions on them, whereas their remedy penalises transitions in the log-likelihood, yielding more persistent states and better out-of-sample classification on equity data.</w:t>
      </w:r>
    </w:p>
    <w:p w14:paraId="56EFA4F8" w14:textId="77777777" w:rsidR="008A3CB1" w:rsidRDefault="008A3CB1" w:rsidP="008A3CB1">
      <w:pPr>
        <w:spacing w:line="360" w:lineRule="auto"/>
      </w:pPr>
      <w:r>
        <w:t xml:space="preserve">A model conditioned on a misclassified regime inherits that error rather than correcting it, so apparent gains from conditioning can mask noise in the regime estimate. </w:t>
      </w:r>
      <w:r>
        <w:rPr>
          <w:b/>
        </w:rPr>
        <w:t>The dissertation operationalises the Nystrup et al. (2020) jump penalty as its specific remedy for state-switching noise, in the two-stage form those authors themselves describe: the penalised objective is solved to obtain a persistent state path, and the Gaussian emissions and transition matrix of the hidden Markov model are then estimated from that path, so that the filtered posterior on which the forecasts are conditioned inherits the penalty's persistence rather than maximum likelihood's excessive switching.</w:t>
      </w:r>
      <w:r>
        <w:t xml:space="preserve"> Adopting it well depends on principles the literature makes clear rather than on parameters fixed in advance. The strength of the transition penalty governs a bias-variance trade-off between over smoothed and over switching state sequences and is therefore best treated as a quantity to be tuned rather than set a priori.</w:t>
      </w:r>
    </w:p>
    <w:p w14:paraId="42989B14" w14:textId="77777777" w:rsidR="008A3CB1" w:rsidRDefault="008A3CB1" w:rsidP="008A3CB1">
      <w:pPr>
        <w:spacing w:line="360" w:lineRule="auto"/>
      </w:pPr>
      <w:r>
        <w:t>The number of regimes is kept deliberately small and interpretable, broadly distinguishing calm, transitional and crisis states, because a richer state space dilutes interpretability and invites overfitting on the modest samples of daily financial data (Guidolin, 2011). And since a forecast conditioned on a misclassified regime inherits rather than corrects that error, the value added by regime conditioning must be demonstrated empirically rather than assumed. The estimation and tuning procedures that operationalise these principles are specified in Chapter 3.</w:t>
      </w:r>
    </w:p>
    <w:p w14:paraId="73823810" w14:textId="77777777" w:rsidR="008A3CB1" w:rsidRDefault="008A3CB1" w:rsidP="008A3CB1">
      <w:pPr>
        <w:spacing w:line="360" w:lineRule="auto"/>
      </w:pPr>
      <w:r>
        <w:t>The tradition remains active on the dissertation’s own target: Blake, Gandhi and Jakkula (2025) apply soft Markov-switching and clustering-based regimes to daily S&amp;P 500 realised volatility and report material gains over a baseline autoregressive model, but use neither a deep sequence model nor any uncertainty quantification, precisely the two layers Sections 2.5 and 2.6 add on top of the regime signal.</w:t>
      </w:r>
    </w:p>
    <w:p w14:paraId="65ADA9EF" w14:textId="77777777" w:rsidR="008A3CB1" w:rsidRDefault="008A3CB1" w:rsidP="008A3CB1">
      <w:pPr>
        <w:pStyle w:val="Heading2"/>
        <w:spacing w:line="360" w:lineRule="auto"/>
      </w:pPr>
      <w:bookmarkStart w:id="5" w:name="deep-learning-for-financial-time-series"/>
      <w:r>
        <w:lastRenderedPageBreak/>
        <w:t>2.5 Deep Learning for Financial Time Series</w:t>
      </w:r>
      <w:bookmarkEnd w:id="5"/>
    </w:p>
    <w:p w14:paraId="525D13DC" w14:textId="77777777" w:rsidR="008A3CB1" w:rsidRDefault="008A3CB1" w:rsidP="008A3CB1">
      <w:pPr>
        <w:spacing w:line="360" w:lineRule="auto"/>
      </w:pPr>
      <w:r>
        <w:t>The architectural backbone of the dissertation’s deep models is the Long Short-Term Memory cell of Hochreiter and Schmidhuber (1997), which remains the workhorse of sequence modelling on tasks with moderate context lengths and limited data, both of which describe daily financial time series. By introducing input, output and forget gates that regulate information flow through a constant-error-carousel memory unit, the design overcame the vanishing-gradient pathology that had previously made recurrent networks impractical for long-range dependencies. The LSTM’s inductive bias, that the present is best predicted from a learned, selectively retained summary of the recent past, aligns with the persistence structure of volatility documented by Cont (2001).</w:t>
      </w:r>
    </w:p>
    <w:p w14:paraId="57CFB730" w14:textId="77777777" w:rsidR="008A3CB1" w:rsidRDefault="008A3CB1" w:rsidP="008A3CB1">
      <w:pPr>
        <w:spacing w:line="360" w:lineRule="auto"/>
      </w:pPr>
      <w:r>
        <w:t>The architecture is retained over the attention-based models that now dominate language and vision, namely the Transformer (Vaswani et al., 2017) and the Temporal Fusion Transformer (Lim et al., 2021), on evidential rather than merely conservative grounds. Attention is data-hungry relative to the modest effective sample sizes of daily financial data, precisely the regime in which Lim and Zohren (2021) argue a strong temporal inductive bias is most valuable. Recent benchmarks reinforce the point, with simple recurrent and linear models matching or exceeding elaborate transformers on long-horizon forecasting (Zeng et al., 2023). It retains, too, the stable optimisation and interpretable gate activations that recommend it here.</w:t>
      </w:r>
    </w:p>
    <w:p w14:paraId="56B3853A" w14:textId="77777777" w:rsidR="008A3CB1" w:rsidRDefault="008A3CB1" w:rsidP="008A3CB1">
      <w:pPr>
        <w:spacing w:line="360" w:lineRule="auto"/>
      </w:pPr>
      <w:r>
        <w:t>The broader landscape of deep learning for time series is most usefully surveyed by Lim and Zohren (2021), whose review supplies the design vocabulary used throughout this dissertation. They systematise the field into encoder-decoder architectures, hybrid models that combine neural components with classical statistical structure, and attention-based approaches such as the Temporal Fusion Transformer, and they articulate two principles particularly relevant to volatility forecasting.</w:t>
      </w:r>
    </w:p>
    <w:p w14:paraId="400AE547" w14:textId="77777777" w:rsidR="008A3CB1" w:rsidRDefault="008A3CB1" w:rsidP="008A3CB1">
      <w:pPr>
        <w:spacing w:line="360" w:lineRule="auto"/>
      </w:pPr>
      <w:r>
        <w:t xml:space="preserve">The first is that financial sequences benefit from architectures with strong temporal inductive bias, because their effective sample sizes are small relative to those of natural-language or vision tasks. The second is that hybrid approaches, in which a neural network learns residual structure on top of a statistical baseline, frequently outperform either component alone. Both observations motivate the </w:t>
      </w:r>
      <w:r>
        <w:rPr>
          <w:bCs/>
        </w:rPr>
        <w:t>regime-aware</w:t>
      </w:r>
      <w:r>
        <w:t xml:space="preserve"> variant proposed in Chapter 3, in which the network is conditioned on an external state estimate rather than expected to learn the regime structure unsupervised.</w:t>
      </w:r>
    </w:p>
    <w:p w14:paraId="7D0A9B26" w14:textId="77777777" w:rsidR="008A3CB1" w:rsidRDefault="008A3CB1" w:rsidP="008A3CB1">
      <w:pPr>
        <w:spacing w:line="360" w:lineRule="auto"/>
      </w:pPr>
      <w:r>
        <w:lastRenderedPageBreak/>
        <w:t xml:space="preserve">The theoretical motivation for this division of labour is precise, as the Hidden Markov Model of Section 2.4 resolves the </w:t>
      </w:r>
      <w:r>
        <w:rPr>
          <w:bCs/>
        </w:rPr>
        <w:t>discrete regime-identification problem</w:t>
      </w:r>
      <w:r>
        <w:t xml:space="preserve"> of calm, transitional, and crisis states that a single-regime parametric specification cannot accommodate, while the LSTM resolves the </w:t>
      </w:r>
      <w:r>
        <w:rPr>
          <w:bCs/>
        </w:rPr>
        <w:t>continuous, non-linear residual dynamics conditional on that state</w:t>
      </w:r>
      <w:r>
        <w:t xml:space="preserve"> that the Gaussian-emission HMM is deliberately too simple to capture. The regime-aware LSTM proposed in Chapter 3 makes this decomposition explicit through two complementary conditioning architectures: a regime-as-feature model, which appends the HMM’s filtered state probabilities to the recurrent network’s input vector, and a regime-specific mixture-of-experts, which trains one LSTM expert per state and combines them through a soft gate given by the same filtered posterior, so that each expert specialises in a single regime’s dynamics rather than one network serving every regime at once</w:t>
      </w:r>
      <w:r w:rsidRPr="00DD2E29">
        <w:t>. In contrast to the smoothed probabilities of Section 2.4, which condition on the entire sample and are therefore suited to retrospective regime description, the filtered posterior P(sₜ | x₁,…,xₜ) conditions only on information available up to the forecast date, so conditioning the forecast on it introduces no look-ahead.</w:t>
      </w:r>
    </w:p>
    <w:p w14:paraId="1AEEF027" w14:textId="77777777" w:rsidR="008A3CB1" w:rsidRDefault="008A3CB1" w:rsidP="008A3CB1">
      <w:pPr>
        <w:spacing w:line="360" w:lineRule="auto"/>
      </w:pPr>
      <w:r>
        <w:t>The most direct empirical precedents are two studies of recurrent networks against econometric baselines on equity volatility, and reading them against each other is more instructive than taking either alone. Kim and Won (2018) work on daily KOSPI 200 data and hybridise an LSTM with several GARCH-type models, reporting that the hybrid beats either pure component. Bucci (2020) moves to the S&amp;P 500 but at monthly frequency, benchmarking feed-forward, LSTM and nonlinear autoregressive networks against ARFIMA and HAR, and finds the recurrent architectures the most accurate.</w:t>
      </w:r>
    </w:p>
    <w:p w14:paraId="5B7FB8A5" w14:textId="77777777" w:rsidR="008A3CB1" w:rsidRDefault="008A3CB1" w:rsidP="008A3CB1">
      <w:pPr>
        <w:spacing w:line="360" w:lineRule="auto"/>
      </w:pPr>
      <w:r>
        <w:t>The two converge on a single claim saying that LSTM-based models can match or modestly exceed econometric baselines on equity volatility. Yet they reach it from opposite corners of the design space, where Kim and Won at daily frequency but on a return-based target in a non-US market, and Bucci on a US index but at a monthly horizon that sidesteps the daily realised-volatility problem entirely. Neither conditions on market regime, neither produces calibrated uncertainty, and neither subjects its comparison to the proxy-robust significance tests of Section 2.7.</w:t>
      </w:r>
    </w:p>
    <w:p w14:paraId="4DDB7FC9" w14:textId="77777777" w:rsidR="008A3CB1" w:rsidRDefault="008A3CB1" w:rsidP="008A3CB1">
      <w:pPr>
        <w:spacing w:line="360" w:lineRule="auto"/>
      </w:pPr>
      <w:r>
        <w:t xml:space="preserve">These are precisely the four gaps, namely daily realised volatility on a major US index, regime conditioning, calibrated uncertainty, and proxy-robust testing, that the present dissertation closes jointly. More recent work modernises this base, and the two leading examples warrant different evidential weight, Christensen, Siggaard and Veliyev (2023), peer-reviewed in a leading econometrics journal, show machine learning outperforming HAR </w:t>
      </w:r>
      <w:r>
        <w:lastRenderedPageBreak/>
        <w:t>on daily realised volatility, while Reisenhofer, Bayer and Hautsch (2022), a HAR-initialised convolutional network, remains an arXiv preprint and is read here as indicative rather than settled. Neither, in any case, addresses the four gaps jointly.</w:t>
      </w:r>
    </w:p>
    <w:p w14:paraId="78C226CC" w14:textId="77777777" w:rsidR="008A3CB1" w:rsidRDefault="008A3CB1" w:rsidP="008A3CB1">
      <w:pPr>
        <w:spacing w:line="360" w:lineRule="auto"/>
      </w:pPr>
      <w:r>
        <w:t>A wave of very recent work sharpens these precedents, and it is instructive that each occupies only part of the pipeline assembled here. The closest comparator is Kılıç (2025), who benchmarks LSTM, GRU and attention-augmented recurrent networks against Markov-switching, threshold and smooth-transition HAR on daily S&amp;P 500 realised volatility under QLIKE with Diebold-Mariano and Model-Confidence-Set testing, and finds the regime-switching HAR specifications outperform the deep models which is a result this dissertation confronts directly by placing the regime signal inside the network rather than the HAR and testing whether that conclusion survives once uncertainty is added.</w:t>
      </w:r>
    </w:p>
    <w:p w14:paraId="4B5745B6" w14:textId="77777777" w:rsidR="008A3CB1" w:rsidRDefault="008A3CB1" w:rsidP="008A3CB1">
      <w:pPr>
        <w:spacing w:line="360" w:lineRule="auto"/>
      </w:pPr>
      <w:r>
        <w:t>Taneva-Angelova and Granchev (2025) provide the nearest baseline design, pitting GARCH(1,1), HAR-RV and ARIMA against LSTM, CNN-LSTM and Transformer models on US-index realised variance under QLIKE and Diebold-Mariano, but without any regime or uncertainty component, while Kumar, Umeorah and Alochukwu (2026) pair an LSTM with a graph network and the full GARCH(1,1)/EGARCH/HAR-RV baseline set yet make regimes structural through partition-dependent graphs rather than inferred latent states and forecast a squared-return proxy rather than intraday realised volatility.</w:t>
      </w:r>
    </w:p>
    <w:p w14:paraId="6E1A3CA4" w14:textId="77777777" w:rsidR="008A3CB1" w:rsidRDefault="008A3CB1" w:rsidP="008A3CB1">
      <w:pPr>
        <w:spacing w:line="360" w:lineRule="auto"/>
      </w:pPr>
      <w:r>
        <w:t>On the data side, Goel, Pasricha, Magris and Kanniainen (2025) are among the few to use the Oxford-Man Realized Library directly, fine-tuning a time-series foundation model against HAR, CHAR and Realized-GARCH, but employ neither a recurrent architecture, regime conditioning, nor uncertainty; the related realised-volatility deep models of Moreno-Pino and Zohren (2024), Zhang et al. (2024) and Frank (2023) likewise omit both regime conditioning and calibrated uncertainty. The regime-conditioned-network mechanism itself has a precedent outside volatility in Erlwein-Sayer et al. (2023), who feed hidden-Markov regime information into an LSTM to forecast corporate credit spreads, confirming the architecture while leaving its realised-volatility application, econometric baselines and uncertainty layer open.</w:t>
      </w:r>
    </w:p>
    <w:p w14:paraId="7F95647F" w14:textId="77777777" w:rsidR="008A3CB1" w:rsidRDefault="008A3CB1" w:rsidP="008A3CB1">
      <w:pPr>
        <w:spacing w:line="360" w:lineRule="auto"/>
      </w:pPr>
    </w:p>
    <w:p w14:paraId="213D6555" w14:textId="77777777" w:rsidR="008A3CB1" w:rsidRDefault="008A3CB1" w:rsidP="008A3CB1">
      <w:pPr>
        <w:pStyle w:val="Heading2"/>
        <w:spacing w:line="360" w:lineRule="auto"/>
      </w:pPr>
      <w:bookmarkStart w:id="6" w:name="X52a78444787454871f991dd5dc3eed38c292db5"/>
      <w:r>
        <w:t>2.6 Uncertainty Quantification in Deep Forecasting</w:t>
      </w:r>
      <w:bookmarkEnd w:id="6"/>
    </w:p>
    <w:p w14:paraId="4B6537D5" w14:textId="77777777" w:rsidR="008A3CB1" w:rsidRDefault="008A3CB1" w:rsidP="008A3CB1">
      <w:pPr>
        <w:spacing w:line="360" w:lineRule="auto"/>
      </w:pPr>
      <w:r>
        <w:t xml:space="preserve">The dissertation adopts two complementary uncertainty-quantification methods, chosen to </w:t>
      </w:r>
      <w:r>
        <w:rPr>
          <w:bCs/>
        </w:rPr>
        <w:t>balance computational efficiency with econometric robustness</w:t>
      </w:r>
      <w:r>
        <w:t xml:space="preserve">. Deep ensembles (Lakshminarayanan, Pritzel and Blundell, 2017) and full Bayesian inference were set aside on </w:t>
      </w:r>
      <w:r>
        <w:lastRenderedPageBreak/>
        <w:t xml:space="preserve">cost. Monte Carlo Dropout (Gal and Ghahramani, 2016) supplies a </w:t>
      </w:r>
      <w:r>
        <w:rPr>
          <w:bCs/>
        </w:rPr>
        <w:t>Bayesian-approximate</w:t>
      </w:r>
      <w:r>
        <w:t xml:space="preserve"> route that requires no architectural changes and no additional training. Pinball-loss quantile regression, motivated by the CAViaR framework of Engle and Manganelli (2004), supplies a </w:t>
      </w:r>
      <w:r>
        <w:rPr>
          <w:bCs/>
        </w:rPr>
        <w:t>distribution-free econometric</w:t>
      </w:r>
      <w:r>
        <w:t xml:space="preserve"> route that imposes no parametric assumption on the conditional return distribution.</w:t>
      </w:r>
    </w:p>
    <w:p w14:paraId="051BCAF0" w14:textId="77777777" w:rsidR="008A3CB1" w:rsidRDefault="008A3CB1" w:rsidP="008A3CB1">
      <w:pPr>
        <w:spacing w:line="360" w:lineRule="auto"/>
      </w:pPr>
      <w:r>
        <w:t>The two are paired deliberately because their failure modes do not overlap. Dropout’s variational approximation may underestimate uncertainty under distribution shift, while quantile-regression intervals lack formal coverage guarantees and must be validated empirically. Reporting both, under the proper scoring rules of Gneiting and Raftery (2007), supplies a more defensible probabilistic forecast than either method alone.</w:t>
      </w:r>
    </w:p>
    <w:p w14:paraId="16450386" w14:textId="77777777" w:rsidR="008A3CB1" w:rsidRDefault="008A3CB1" w:rsidP="008A3CB1">
      <w:pPr>
        <w:spacing w:line="360" w:lineRule="auto"/>
      </w:pPr>
      <w:r>
        <w:t>Gal and Ghahramani (2016) show that a deep network trained with dropout regularisation can be reinterpreted as approximate Bayesian inference over a deep Gaussian-process prior, with stochastic forward passes at test time sampling from the posterior predictive distribution. The principal limitation, well documented in subsequent work, is that the dropout rate functions as a hyperparameter materially affecting the magnitude of predictive variance, and that the resulting estimates can be over-confident under distribution shift, the regime that dominates financial test periods, where this over-confidence is empirically documented (Ovadia et al., 2019). The dissertation therefore validates Monte Carlo Dropout’s calibration empirically against held-out coverage rather than asserting the theoretical Bayesian interpretation.</w:t>
      </w:r>
    </w:p>
    <w:p w14:paraId="70A4F734" w14:textId="77777777" w:rsidR="008A3CB1" w:rsidRDefault="008A3CB1" w:rsidP="008A3CB1">
      <w:pPr>
        <w:spacing w:line="360" w:lineRule="auto"/>
      </w:pPr>
      <w:r>
        <w:t>Engle and Manganelli (2004) introduced the Conditional Autoregressive Value at Risk (CAViaR) framework, in which the conditional quantiles of the return distribution are modelled through an autoregressive recursion estimated by minimising the pinball loss. That same asymmetric, distribution-free loss was later adopted by neural quantile regression and refined for finite-sample coverage by conformal methods, such as conformalized quantile regression (Romano, Patterson and Candès, 2019) and its time-series extensions (Xu and Xie, 2021; Gibbs and Candès, 2021). Those conformal procedures are acknowledged here rather than adopted, for a reason specific to this design: conformal calibration requires a held-out set disjoint from both the training data and the evaluation window, and the pre-test sample here is committed in full to estimating models that are then held fixed across the test period, so carving a calibration split out of it would alter the estimation protocol on which every other comparison in the study rests. Their paper also introduced the dynamic quantile test for assessing value-at-risk forecasts.</w:t>
      </w:r>
    </w:p>
    <w:p w14:paraId="03AC89B2" w14:textId="77777777" w:rsidR="008A3CB1" w:rsidRDefault="008A3CB1" w:rsidP="008A3CB1">
      <w:pPr>
        <w:spacing w:line="360" w:lineRule="auto"/>
      </w:pPr>
      <w:r>
        <w:t>The CAViaR framework supplies the methodological justification for training the LSTM to output a set of conditional quantiles directly via the pinball loss rather than samples from a posterior. It imposes no distributional assumption and remains valid for heavy-tailed equity returns, but the literature notes two theoretical caveats in that the estimated quantiles are not guaranteed to be monotonic, and the resulting intervals lack the finite-sample coverage guarantees of Bayesian or conformal procedures. Their empirical coverage must therefore be established rather than assumed, with the procedures for doing so deferred to Chapter 3.</w:t>
      </w:r>
    </w:p>
    <w:p w14:paraId="0D2B1243" w14:textId="77777777" w:rsidR="008A3CB1" w:rsidRDefault="008A3CB1" w:rsidP="008A3CB1">
      <w:pPr>
        <w:spacing w:line="360" w:lineRule="auto"/>
      </w:pPr>
      <w:r>
        <w:lastRenderedPageBreak/>
        <w:t>Two very recent studies bring these ideas onto realised volatility itself and are the dissertation’s nearest probabilistic neighbours, though each stops short of the present design. Song, Lee, Lee and Chang (2025) couple a bidirectional LSTM with a deep quantile function to produce probabilistic realised-volatility forecasts for major US equity ETFs, but without regime conditioning, Monte Carlo Dropout, or econometric baselines, while Dudek, Orzeszko and Fiszeder (2025) convert point forecasts (an LSTM among them) into quantile and interval forecasts of cryptocurrency realised variance, evaluated with the Winkler interval score and the continuous ranked probability score alongside HAR and GARCH baselines, but on a crypto target and without regimes or Monte Carlo Dropout.</w:t>
      </w:r>
    </w:p>
    <w:p w14:paraId="48684857" w14:textId="77777777" w:rsidR="008A3CB1" w:rsidRDefault="008A3CB1" w:rsidP="008A3CB1">
      <w:pPr>
        <w:spacing w:line="360" w:lineRule="auto"/>
      </w:pPr>
      <w:r>
        <w:t>That the full stack is technically coherent is shown outside finance by Isik and Yalcinkaya (2026), who integrate regime detection, a bidirectional LSTM, Monte Carlo Dropout and quantile intervals end-to-end for wind-power forecasting, evidence that the methodology composes, even though its financial, realised-volatility instantiation remains unoccupied. That the uncertainty dimension is itself under-developed in financial machine learning is underscored by Gunnarsson et al. (2024), who find deep recurrent models among the strongest realised-volatility forecasters yet explicitly identify probabilistic, uncertainty-aware machine learning as an open direction.</w:t>
      </w:r>
    </w:p>
    <w:p w14:paraId="63AC0DB1" w14:textId="77777777" w:rsidR="008A3CB1" w:rsidRDefault="008A3CB1" w:rsidP="008A3CB1">
      <w:pPr>
        <w:pStyle w:val="Heading2"/>
        <w:spacing w:line="360" w:lineRule="auto"/>
      </w:pPr>
      <w:bookmarkStart w:id="7" w:name="forecast-evaluation-and-comparison"/>
      <w:r>
        <w:t>2.7 Forecast Evaluation and Comparison</w:t>
      </w:r>
      <w:bookmarkEnd w:id="7"/>
    </w:p>
    <w:p w14:paraId="5A962234" w14:textId="77777777" w:rsidR="008A3CB1" w:rsidRDefault="008A3CB1" w:rsidP="008A3CB1">
      <w:pPr>
        <w:spacing w:line="360" w:lineRule="auto"/>
      </w:pPr>
      <w:r>
        <w:t>The standard apparatus for testing whether one forecast is statistically more accurate than another is the pairwise test introduced by Diebold and Mariano (1995), which compares the loss differential between two competing forecasts and asks whether its mean is significantly different from zero under a heteroskedasticity- and autocorrelation-consistent estimate of its long-run variance. The test is widely used in volatility forecasting because it accommodates non-Gaussian loss differentials and non-nested model comparisons, both of which are common when comparing parametric econometric models against deep networks (Gu, Kelly and Xiu, 2020; Makridakis et al., 2020).</w:t>
      </w:r>
    </w:p>
    <w:p w14:paraId="4CAB1C1A" w14:textId="77777777" w:rsidR="008A3CB1" w:rsidRDefault="008A3CB1" w:rsidP="008A3CB1">
      <w:pPr>
        <w:spacing w:line="360" w:lineRule="auto"/>
      </w:pPr>
      <w:r>
        <w:t xml:space="preserve">The dissertation uses the Diebold-Mariano test as its primary pairwise significance test for forecast superiority, with the QLIKE loss adopted following Patton (2011). Because the pipeline compares many models, pairwise testing invites multiple-comparison error, so superiority is also assessed with the Model Confidence Set (Hansen, Lunde and Nason, 2011). The test’s regularity conditions, in particular weak dependence in the loss differential, are inspected and reported as a robustness exercise, since highly persistent forecast errors can </w:t>
      </w:r>
      <w:r>
        <w:t>degrade the test’s power and inflate its size, and Giacomini and White (2006) refine this framework for the long-memory loss series typical of volatility. One condition of that refinement is worth stating plainly, because the present design does not satisfy it uniformly: the Giacomini-White asymptotics assume forecasts are produced from a finite estimation window, so that estimation error does not vanish and the object being tested is the forecasting method rather than the population model. The deep models here, estimated once and held fixed, satisfy this; the econometric baselines, re-estimated on an expanding window, do not. The test is nonetheless applied in the form standard in the applied volatility literature, and the qualification is recorded rather than left implicit.</w:t>
      </w:r>
    </w:p>
    <w:p w14:paraId="5B61EAE9" w14:textId="77777777" w:rsidR="008A3CB1" w:rsidRDefault="008A3CB1" w:rsidP="008A3CB1">
      <w:pPr>
        <w:spacing w:line="360" w:lineRule="auto"/>
      </w:pPr>
      <w:r>
        <w:t>The criteria against which the dissertation’s uncertainty-aware variants are judged are supplied by Gneiting and Raftery (2007), whose treatment of proper scoring rules has become the canonical reference for evaluating probabilistic forecasts. They formalise the notion of a strictly proper scoring rule, which is a loss function whose expected value is minimised at the true predictive distribution, and develop the continuous ranked probability score and the interval (Winkler) score as integrated criteria that reward both location and spread.</w:t>
      </w:r>
    </w:p>
    <w:p w14:paraId="567DC1D6" w14:textId="77777777" w:rsidR="008A3CB1" w:rsidRDefault="008A3CB1" w:rsidP="008A3CB1">
      <w:pPr>
        <w:spacing w:line="360" w:lineRule="auto"/>
      </w:pPr>
      <w:r>
        <w:t>The paper crystallises a principle implicit in much of the volatility literature. A probabilistic forecast cannot be evaluated by its point estimate alone, since two forecasts with identical means may differ substantially in their tail behaviour and therefore in their economic value to a risk manager who must size positions or set capital reserves. The dissertation accordingly evaluates the Monte Carlo Dropout and quantile-regression variants on coverage, sharpness and a proper scoring rule, treating point-forecast accuracy as necessary but not sufficient evidence of model quality.</w:t>
      </w:r>
    </w:p>
    <w:p w14:paraId="31821CBD" w14:textId="77777777" w:rsidR="008A3CB1" w:rsidRDefault="008A3CB1" w:rsidP="008A3CB1">
      <w:pPr>
        <w:pStyle w:val="Heading2"/>
        <w:spacing w:line="360" w:lineRule="auto"/>
      </w:pPr>
      <w:bookmarkStart w:id="8" w:name="synthesis-and-identified-gap"/>
      <w:r>
        <w:t>2.8 Synthesis and Identified Gap</w:t>
      </w:r>
      <w:bookmarkEnd w:id="8"/>
    </w:p>
    <w:p w14:paraId="67954B03" w14:textId="77777777" w:rsidR="008A3CB1" w:rsidRDefault="008A3CB1" w:rsidP="008A3CB1">
      <w:pPr>
        <w:spacing w:line="360" w:lineRule="auto"/>
      </w:pPr>
      <w:r>
        <w:t xml:space="preserve">The four traditions reviewed above describe a coherent intellectual landscape, but one whose components have not yet been integrated into a single empirical pipeline for daily realised-volatility forecasting on a major US equity index. The </w:t>
      </w:r>
      <w:r>
        <w:rPr>
          <w:b/>
        </w:rPr>
        <w:t>parametric econometric</w:t>
      </w:r>
      <w:r>
        <w:t xml:space="preserve"> tradition (Engle, 1982; Bollerslev, 1986; Nelson, 1991; Hansen and Lunde, 2005; Corsi, 2009) has produced parsimonious, interpretable benchmarks against which any new proposal must be measured under proxy-robust losses (Patton, 2011) and significance tests (Diebold and Mariano, 1995; Giacomini and White, 2006), with Corsi’s HAR-RV the standard benchmark on realised-volatility targets reframed by Andersen, Bollerslev, Diebold and Labys (2003).</w:t>
      </w:r>
    </w:p>
    <w:p w14:paraId="656B8F73" w14:textId="77777777" w:rsidR="008A3CB1" w:rsidRDefault="008A3CB1" w:rsidP="008A3CB1">
      <w:pPr>
        <w:spacing w:line="360" w:lineRule="auto"/>
      </w:pPr>
      <w:r>
        <w:t xml:space="preserve">The </w:t>
      </w:r>
      <w:r>
        <w:rPr>
          <w:b/>
        </w:rPr>
        <w:t>regime-switching</w:t>
      </w:r>
      <w:r>
        <w:t xml:space="preserve"> tradition (Hamilton, 1989; Nystrup, Lindstrom and Madsen, 2020) supplies mature machinery for extracting persistent states, but almost always paired with parametric rather than neural models. The </w:t>
      </w:r>
      <w:r>
        <w:rPr>
          <w:b/>
        </w:rPr>
        <w:t>deep-learning</w:t>
      </w:r>
      <w:r>
        <w:t xml:space="preserve"> tradition (Hochreiter and Schmidhuber, 1997; Lim and Zohren, 2021) has demonstrated that LSTM-based architectures can match or modestly exceed econometric baselines on equity volatility (Kim and Won, 2018; Bucci, 2020), but rarely on daily realised volatility for a major US index and rarely conditioned on regime.</w:t>
      </w:r>
    </w:p>
    <w:p w14:paraId="6A6B150D" w14:textId="77777777" w:rsidR="008A3CB1" w:rsidRDefault="008A3CB1" w:rsidP="008A3CB1">
      <w:pPr>
        <w:spacing w:line="360" w:lineRule="auto"/>
      </w:pPr>
      <w:r>
        <w:lastRenderedPageBreak/>
        <w:t xml:space="preserve">The </w:t>
      </w:r>
      <w:r>
        <w:rPr>
          <w:b/>
        </w:rPr>
        <w:t>probabilistic / uncertainty-quantification</w:t>
      </w:r>
      <w:r>
        <w:t xml:space="preserve"> tradition provides two complementary routes to calibrated predictive distributions, the Monte Carlo Dropout (Gal and Ghahramani, 2016) and pinball-loss quantile regression rooted in CAViaR (Engle and Manganelli, 2004), evaluated against proper scoring rules (Gneiting and Raftery, 2007), and have been benchmarked extensively on general tasks but rarely on financial volatility. Across all four, the evidence is uneven (single-market, non-daily, or non-financial) and so indicative rather than decisive here.</w:t>
      </w:r>
    </w:p>
    <w:p w14:paraId="2913919B" w14:textId="77777777" w:rsidR="008A3CB1" w:rsidRDefault="008A3CB1" w:rsidP="008A3CB1">
      <w:pPr>
        <w:spacing w:line="360" w:lineRule="auto"/>
      </w:pPr>
      <w:r>
        <w:t xml:space="preserve">The gap is therefore one of </w:t>
      </w:r>
      <w:r>
        <w:rPr>
          <w:b/>
        </w:rPr>
        <w:t>integration</w:t>
      </w:r>
      <w:r>
        <w:t xml:space="preserve"> rather than novelty, the four traditions have matured separately, but their combination on a common evaluation protocol has not been systematically examined. This gap reflects adjudication, not omission. Stochastic volatility, attention models, joint return-and-RV models, and conformal uncertainty were each weighed above and set aside for stated reasons. The present dissertation addresses this gap directly.</w:t>
      </w:r>
    </w:p>
    <w:p w14:paraId="6EC5A0C7" w14:textId="77777777" w:rsidR="008A3CB1" w:rsidRDefault="008A3CB1" w:rsidP="008A3CB1">
      <w:pPr>
        <w:spacing w:line="360" w:lineRule="auto"/>
      </w:pPr>
      <w:r>
        <w:t>The proposed pipeline assembles GARCH(1,1), EGARCH and HAR-RV as parametric baselines, an unconditional LSTM as a non-linear sequence baseline, two regime-aware LSTMs (a regime-as-feature model and a regime-specific mixture-of-experts) conditioned on a Gaussian-emission HMM whose states are identified by the Nystrup et al. (2020) jump-penalised objective and whose parameters are estimated from the resulting penalised state path, and uncertainty-aware variants using Monte Carlo Dropout and pinball-loss quantile regression. All models are evaluated on the same out-of-sample window under QLIKE and MSE with Diebold-Mariano significance tests for point forecasts and proper-score diagnostics for the probabilistic variants. The aim is not a novel architecture but a rigorous test of the integrated pipeline, identifying which component from regime conditioning, uncertainty quantification, or architectural depth, most improves daily realised-volatility forecasts for the S&amp;P 500.</w:t>
      </w:r>
    </w:p>
    <w:p w14:paraId="2EB5D859" w14:textId="77777777" w:rsidR="008A3CB1" w:rsidRDefault="008A3CB1" w:rsidP="008A3CB1">
      <w:pPr>
        <w:spacing w:line="360" w:lineRule="auto"/>
      </w:pPr>
      <w:r>
        <w:t>Positioned against this most recent literature, the contribution is best understood as an integration and a controlled empirical comparison rather than a new architecture, and the near-neighbours make the boundary precise. Kılıç (2025) pairs deep networks with regime-switching HAR but keeps them as separate competing models and quantifies no uncertainty, Blake et al. (2025) infer regimes on the same S&amp;P 500 realised-volatility target but use neither deep learning nor uncertainty, Song et al. (2025) and Dudek et al. (2025) attach quantile uncertainty to an LSTM but omit regime conditioning, Monte Carlo Dropout and, respectively, an equity target and econometric baselines, and Taneva-Angelova and Granchev (2025) with Kumar et al. (2026) reproduce the baseline-versus-network comparison without calibrated uncertainty.</w:t>
      </w:r>
    </w:p>
    <w:p w14:paraId="11399119" w14:textId="77777777" w:rsidR="008A3CB1" w:rsidRDefault="008A3CB1" w:rsidP="008A3CB1">
      <w:pPr>
        <w:spacing w:line="360" w:lineRule="auto"/>
      </w:pPr>
      <w:r>
        <w:t xml:space="preserve">To the best of the present review, which was extensive but not exhaustive, no study combines a regime-conditioned LSTM with dual uncertainty quantification for equity realised volatility </w:t>
      </w:r>
      <w:r>
        <w:lastRenderedPageBreak/>
        <w:t>on the Oxford-Man Realized Library under Model-Confidence-Set and interval-coverage evaluation, that specific intersection, an integrative rather than a methodological novelty, is what the dissertation claims.</w:t>
      </w:r>
    </w:p>
    <w:p w14:paraId="6880197D" w14:textId="77777777" w:rsidR="008A3CB1" w:rsidRDefault="008A3CB1" w:rsidP="008A3CB1">
      <w:pPr>
        <w:spacing w:line="360" w:lineRule="auto"/>
      </w:pPr>
      <w:r>
        <w:t>The value of the study accordingly rests less on whether deep learning wins outright, as the evidence above, and Kılıç (2025) in particular, suggests it may not, and HAR-RV remains a demanding benchmark on its native target, than on an honest, leakage-free ablation that isolates when regime-awareness and calibrated uncertainty improve daily S&amp;P 500 realised-volatility forecasts and when they do not, with particular attention to per-regime interval calibration, where the contribution is most distinctive.</w:t>
      </w:r>
    </w:p>
    <w:p w14:paraId="155EAD19" w14:textId="77777777" w:rsidR="008A3CB1" w:rsidRDefault="008A3CB1" w:rsidP="008A3CB1">
      <w:pPr>
        <w:spacing w:line="360" w:lineRule="auto"/>
      </w:pPr>
      <w:r>
        <w:t>On this reading, a model that adds well-calibrated predictive intervals without necessarily lowering point error remains a useful and defensible result for downstream risk management, and the study is framed to report that outcome as readily as a headline improvement.</w:t>
      </w:r>
    </w:p>
    <w:p w14:paraId="6C236601" w14:textId="77777777" w:rsidR="008A3CB1" w:rsidRDefault="008A3CB1" w:rsidP="008A3CB1">
      <w:pPr>
        <w:pStyle w:val="Heading1"/>
        <w:spacing w:line="360" w:lineRule="auto"/>
      </w:pPr>
      <w:bookmarkStart w:id="9" w:name="references"/>
      <w:r>
        <w:t>References</w:t>
      </w:r>
      <w:bookmarkEnd w:id="9"/>
    </w:p>
    <w:p w14:paraId="250D30F9" w14:textId="77777777" w:rsidR="008A3CB1" w:rsidRDefault="008A3CB1" w:rsidP="008A3CB1">
      <w:pPr>
        <w:spacing w:line="360" w:lineRule="auto"/>
      </w:pPr>
      <w:r>
        <w:t xml:space="preserve">Andersen, T.G., Bollerslev, T., Diebold, F.X. and Labys, P., 2003. Modeling and forecasting realized volatility. </w:t>
      </w:r>
      <w:r>
        <w:rPr>
          <w:i/>
        </w:rPr>
        <w:t>Econometrica</w:t>
      </w:r>
      <w:r>
        <w:t>, 71(2), pp.579–625. https://doi.org/10.1111/1468-0262.00418</w:t>
      </w:r>
    </w:p>
    <w:p w14:paraId="061C76A2" w14:textId="77777777" w:rsidR="008A3CB1" w:rsidRDefault="008A3CB1" w:rsidP="008A3CB1">
      <w:pPr>
        <w:spacing w:line="360" w:lineRule="auto"/>
      </w:pPr>
      <w:r>
        <w:t xml:space="preserve">Ang, A. and Bekaert, G., 2002. International asset allocation with regime shifts. </w:t>
      </w:r>
      <w:r>
        <w:rPr>
          <w:i/>
        </w:rPr>
        <w:t>The Review of Financial Studies</w:t>
      </w:r>
      <w:r>
        <w:t>, 15(4), pp.1137–1187. https://doi.org/10.1093/rfs/15.4.1137</w:t>
      </w:r>
    </w:p>
    <w:p w14:paraId="0CFFE4D8" w14:textId="77777777" w:rsidR="008A3CB1" w:rsidRDefault="008A3CB1" w:rsidP="008A3CB1">
      <w:pPr>
        <w:spacing w:line="360" w:lineRule="auto"/>
      </w:pPr>
      <w:r>
        <w:t xml:space="preserve">Barndorff-Nielsen, O.E., Hansen, P.R., Lunde, A. and Shephard, N., 2008. Designing realized kernels to measure the ex post variation of equity prices in the presence of noise. </w:t>
      </w:r>
      <w:r>
        <w:rPr>
          <w:i/>
        </w:rPr>
        <w:t>Econometrica</w:t>
      </w:r>
      <w:r>
        <w:t>, 76(6), pp.1481–1536. https://doi.org/10.3982/ECTA6495</w:t>
      </w:r>
    </w:p>
    <w:p w14:paraId="4FFAEA97" w14:textId="77777777" w:rsidR="008A3CB1" w:rsidRDefault="008A3CB1" w:rsidP="008A3CB1">
      <w:pPr>
        <w:spacing w:line="360" w:lineRule="auto"/>
      </w:pPr>
      <w:r>
        <w:t>Blake, A.C., Gandhi, N.A. and Jakkula, A.R., 2025. Improving S&amp;P 500 volatility forecasting through regime-switching methods. arXiv preprint arXiv:2510.03236. https://doi.org/10.48550/arXiv.2510.03236</w:t>
      </w:r>
    </w:p>
    <w:p w14:paraId="68067E91" w14:textId="77777777" w:rsidR="008A3CB1" w:rsidRDefault="008A3CB1" w:rsidP="008A3CB1">
      <w:pPr>
        <w:spacing w:line="360" w:lineRule="auto"/>
      </w:pPr>
      <w:r>
        <w:t xml:space="preserve">Bollerslev, T., 1986. Generalized autoregressive conditional heteroskedasticity. </w:t>
      </w:r>
      <w:r>
        <w:rPr>
          <w:i/>
        </w:rPr>
        <w:t>Journal of Econometrics</w:t>
      </w:r>
      <w:r>
        <w:t>, 31(3), pp.307–327. https://doi.org/10.1016/0304-4076(86)90063-1</w:t>
      </w:r>
    </w:p>
    <w:p w14:paraId="5C32671A" w14:textId="77777777" w:rsidR="008A3CB1" w:rsidRDefault="008A3CB1" w:rsidP="008A3CB1">
      <w:pPr>
        <w:spacing w:line="360" w:lineRule="auto"/>
      </w:pPr>
      <w:r>
        <w:t xml:space="preserve">Bollerslev, T., Patton, A.J. and Quaedvlieg, R., 2016. Exploiting the errors: a simple approach for improved volatility forecasting. </w:t>
      </w:r>
      <w:r>
        <w:rPr>
          <w:i/>
        </w:rPr>
        <w:t>Journal of Econometrics</w:t>
      </w:r>
      <w:r>
        <w:t>, 192(1), pp.1–18. https://doi.org/10.1016/j.jeconom.2015.10.007</w:t>
      </w:r>
    </w:p>
    <w:p w14:paraId="14AA35E7" w14:textId="77777777" w:rsidR="008A3CB1" w:rsidRDefault="008A3CB1" w:rsidP="008A3CB1">
      <w:pPr>
        <w:spacing w:line="360" w:lineRule="auto"/>
      </w:pPr>
      <w:r>
        <w:t xml:space="preserve">Bucci, A., 2020. Realized volatility forecasting with neural networks. </w:t>
      </w:r>
      <w:r>
        <w:rPr>
          <w:i/>
        </w:rPr>
        <w:t>Journal of Financial Econometrics</w:t>
      </w:r>
      <w:r>
        <w:t>, 18(3), pp.502–531. https://doi.org/10.1093/jjfinec/nbaa008</w:t>
      </w:r>
    </w:p>
    <w:p w14:paraId="60E29025" w14:textId="77777777" w:rsidR="008A3CB1" w:rsidRDefault="008A3CB1" w:rsidP="008A3CB1">
      <w:pPr>
        <w:spacing w:line="360" w:lineRule="auto"/>
      </w:pPr>
      <w:r>
        <w:lastRenderedPageBreak/>
        <w:t xml:space="preserve">Christensen, K., Siggaard, M. and Veliyev, B., 2023. A machine learning approach to volatility forecasting. </w:t>
      </w:r>
      <w:r>
        <w:rPr>
          <w:i/>
        </w:rPr>
        <w:t>Journal of Financial Econometrics</w:t>
      </w:r>
      <w:r>
        <w:t>, 21(5), pp.1680–1727. https://doi.org/10.1093/jjfinec/nbac020</w:t>
      </w:r>
    </w:p>
    <w:p w14:paraId="6EC0C23E" w14:textId="77777777" w:rsidR="008A3CB1" w:rsidRDefault="008A3CB1" w:rsidP="008A3CB1">
      <w:pPr>
        <w:spacing w:line="360" w:lineRule="auto"/>
      </w:pPr>
      <w:r>
        <w:t xml:space="preserve">Cont, R., 2001. Empirical properties of asset returns: stylized facts and statistical issues. </w:t>
      </w:r>
      <w:r>
        <w:rPr>
          <w:i/>
        </w:rPr>
        <w:t>Quantitative Finance</w:t>
      </w:r>
      <w:r>
        <w:t>, 1(2), pp.223–236. https://doi.org/10.1080/713665670</w:t>
      </w:r>
    </w:p>
    <w:p w14:paraId="73E8A674" w14:textId="77777777" w:rsidR="008A3CB1" w:rsidRDefault="008A3CB1" w:rsidP="008A3CB1">
      <w:pPr>
        <w:spacing w:line="360" w:lineRule="auto"/>
      </w:pPr>
      <w:r>
        <w:t xml:space="preserve">Corsi, F., 2009. A simple approximate long-memory model of realized volatility. </w:t>
      </w:r>
      <w:r>
        <w:rPr>
          <w:i/>
        </w:rPr>
        <w:t>Journal of Financial Econometrics</w:t>
      </w:r>
      <w:r>
        <w:t>, 7(2), pp.174–196. https://doi.org/10.1093/jjfinec/nbp001</w:t>
      </w:r>
    </w:p>
    <w:p w14:paraId="3F469991" w14:textId="77777777" w:rsidR="008A3CB1" w:rsidRDefault="008A3CB1" w:rsidP="008A3CB1">
      <w:pPr>
        <w:spacing w:line="360" w:lineRule="auto"/>
      </w:pPr>
      <w:r>
        <w:t xml:space="preserve">Dacco, R. and Satchell, S., 1999. Why do regime-switching models forecast so badly? </w:t>
      </w:r>
      <w:r>
        <w:rPr>
          <w:i/>
        </w:rPr>
        <w:t>Journal of Forecasting</w:t>
      </w:r>
      <w:r>
        <w:t>, 18(1), pp.1–16. https://doi.org/10.1002/(SICI)1099-131X(199901)18:1%3C1::AID-FOR685%3E3.0.CO;2-B</w:t>
      </w:r>
    </w:p>
    <w:p w14:paraId="127E1909" w14:textId="77777777" w:rsidR="008A3CB1" w:rsidRDefault="008A3CB1" w:rsidP="008A3CB1">
      <w:pPr>
        <w:spacing w:line="360" w:lineRule="auto"/>
      </w:pPr>
      <w:r>
        <w:t xml:space="preserve">Diebold, F.X. and Mariano, R.S., 1995. Comparing predictive accuracy. </w:t>
      </w:r>
      <w:r>
        <w:rPr>
          <w:i/>
        </w:rPr>
        <w:t>Journal of Business &amp; Economic Statistics</w:t>
      </w:r>
      <w:r>
        <w:t>, 13(3), pp.253–263. https://doi.org/10.1080/07350015.1995.10524599</w:t>
      </w:r>
    </w:p>
    <w:p w14:paraId="0A931B15" w14:textId="77777777" w:rsidR="008A3CB1" w:rsidRDefault="008A3CB1" w:rsidP="008A3CB1">
      <w:pPr>
        <w:spacing w:line="360" w:lineRule="auto"/>
      </w:pPr>
      <w:r>
        <w:t>Dudek, G., Orzeszko, W. and Fiszeder, P., 2025. Probabilistic forecasting cryptocurrencies volatility: from point to quantile forecasts. arXiv preprint arXiv:2508.15922. https://doi.org/10.48550/arXiv.2508.15922</w:t>
      </w:r>
    </w:p>
    <w:p w14:paraId="48829992" w14:textId="77777777" w:rsidR="008A3CB1" w:rsidRDefault="008A3CB1" w:rsidP="008A3CB1">
      <w:pPr>
        <w:spacing w:line="360" w:lineRule="auto"/>
      </w:pPr>
      <w:r>
        <w:t xml:space="preserve">Engle, R.F., 1982. Autoregressive conditional heteroscedasticity with estimates of the variance of United Kingdom inflation. </w:t>
      </w:r>
      <w:r>
        <w:rPr>
          <w:i/>
        </w:rPr>
        <w:t>Econometrica</w:t>
      </w:r>
      <w:r>
        <w:t>, 50(4), pp.987–1007. https://doi.org/10.2307/1912773</w:t>
      </w:r>
    </w:p>
    <w:p w14:paraId="554A3E92" w14:textId="77777777" w:rsidR="008A3CB1" w:rsidRDefault="008A3CB1" w:rsidP="008A3CB1">
      <w:pPr>
        <w:spacing w:line="360" w:lineRule="auto"/>
      </w:pPr>
      <w:r>
        <w:t xml:space="preserve">Engle, R.F. and Manganelli, S., 2004. CAViaR: conditional autoregressive value at risk by regression quantiles. </w:t>
      </w:r>
      <w:r>
        <w:rPr>
          <w:i/>
        </w:rPr>
        <w:t>Journal of Business &amp; Economic Statistics</w:t>
      </w:r>
      <w:r>
        <w:t>, 22(4), pp.367–381. https://doi.org/10.1198/073500104000000370</w:t>
      </w:r>
    </w:p>
    <w:p w14:paraId="1C4F3A49" w14:textId="77777777" w:rsidR="008A3CB1" w:rsidRDefault="008A3CB1" w:rsidP="008A3CB1">
      <w:pPr>
        <w:spacing w:line="360" w:lineRule="auto"/>
      </w:pPr>
      <w:r>
        <w:t xml:space="preserve">Erlwein-Sayer, C., Grimm, S., Pieper, A. and Alsac, R., 2023. Forecasting corporate credit spreads: regime-switching in LSTM. </w:t>
      </w:r>
      <w:r>
        <w:rPr>
          <w:i/>
        </w:rPr>
        <w:t>The Journal of Finance and Data Science</w:t>
      </w:r>
      <w:r>
        <w:t>, 9. https://www.sciencedirect.com/science/article/pii/S2452306223000916</w:t>
      </w:r>
    </w:p>
    <w:p w14:paraId="267BD4CB" w14:textId="77777777" w:rsidR="008A3CB1" w:rsidRDefault="008A3CB1" w:rsidP="008A3CB1">
      <w:pPr>
        <w:spacing w:line="360" w:lineRule="auto"/>
      </w:pPr>
      <w:r>
        <w:t xml:space="preserve">Frank, J., 2023. Forecasting realized volatility in turbulent times using temporal fusion transformers. </w:t>
      </w:r>
      <w:r>
        <w:rPr>
          <w:i/>
        </w:rPr>
        <w:t>FAU Discussion Papers in Economics</w:t>
      </w:r>
      <w:r>
        <w:t>, No. 03/2023. https://ideas.repec.org/p/zbw/iwqwdp/032023.html</w:t>
      </w:r>
    </w:p>
    <w:p w14:paraId="779F3427" w14:textId="77777777" w:rsidR="008A3CB1" w:rsidRDefault="008A3CB1" w:rsidP="008A3CB1">
      <w:pPr>
        <w:spacing w:line="360" w:lineRule="auto"/>
      </w:pPr>
      <w:r>
        <w:t xml:space="preserve">Gal, Y. and Ghahramani, Z., 2016. Dropout as a Bayesian approximation: representing model uncertainty in deep learning. In: </w:t>
      </w:r>
      <w:r>
        <w:rPr>
          <w:i/>
        </w:rPr>
        <w:t>Proceedings of the 33rd International Conference on Machine Learning (ICML)</w:t>
      </w:r>
      <w:r>
        <w:t>, New York, USA, 19–24 June 2016. PMLR 48, pp.1050–1059.</w:t>
      </w:r>
    </w:p>
    <w:p w14:paraId="31A0B627" w14:textId="77777777" w:rsidR="008A3CB1" w:rsidRDefault="008A3CB1" w:rsidP="008A3CB1">
      <w:pPr>
        <w:spacing w:line="360" w:lineRule="auto"/>
      </w:pPr>
      <w:r>
        <w:t xml:space="preserve">Giacomini, R. and White, H., 2006. Tests of conditional predictive ability. </w:t>
      </w:r>
      <w:r>
        <w:rPr>
          <w:i/>
        </w:rPr>
        <w:t>Econometrica</w:t>
      </w:r>
      <w:r>
        <w:t>, 74(6), pp.1545–1578. https://doi.org/10.1111/j.1468-0262.2006.00718.x</w:t>
      </w:r>
    </w:p>
    <w:p w14:paraId="7D78C4EA" w14:textId="77777777" w:rsidR="008A3CB1" w:rsidRDefault="008A3CB1" w:rsidP="008A3CB1">
      <w:pPr>
        <w:spacing w:line="360" w:lineRule="auto"/>
      </w:pPr>
      <w:r>
        <w:t xml:space="preserve">Gibbs, I. and Candès, E., 2021. Adaptive conformal inference under distribution shift. In: </w:t>
      </w:r>
      <w:r>
        <w:rPr>
          <w:i/>
        </w:rPr>
        <w:t>Advances in Neural Information Processing Systems 34 (NeurIPS 2021)</w:t>
      </w:r>
      <w:r>
        <w:t>.</w:t>
      </w:r>
    </w:p>
    <w:p w14:paraId="1D27418B" w14:textId="77777777" w:rsidR="008A3CB1" w:rsidRDefault="008A3CB1" w:rsidP="008A3CB1">
      <w:pPr>
        <w:spacing w:line="360" w:lineRule="auto"/>
      </w:pPr>
      <w:r>
        <w:lastRenderedPageBreak/>
        <w:t xml:space="preserve">Glosten, L.R., Jagannathan, R. and Runkle, D.E., 1993. On the relation between the expected value and the volatility of the nominal excess return on stocks. </w:t>
      </w:r>
      <w:r>
        <w:rPr>
          <w:i/>
        </w:rPr>
        <w:t>The Journal of Finance</w:t>
      </w:r>
      <w:r>
        <w:t>, 48(5), pp.1779–1801. https://doi.org/10.1111/j.1540-6261.1993.tb05128.x</w:t>
      </w:r>
    </w:p>
    <w:p w14:paraId="060A20C8" w14:textId="77777777" w:rsidR="008A3CB1" w:rsidRDefault="008A3CB1" w:rsidP="008A3CB1">
      <w:pPr>
        <w:spacing w:line="360" w:lineRule="auto"/>
      </w:pPr>
      <w:r>
        <w:t xml:space="preserve">Gneiting, T. and Raftery, A.E., 2007. Strictly proper scoring rules, prediction, and estimation. </w:t>
      </w:r>
      <w:r>
        <w:rPr>
          <w:i/>
        </w:rPr>
        <w:t>Journal of the American Statistical Association</w:t>
      </w:r>
      <w:r>
        <w:t xml:space="preserve">, 102(477), pp.359–378. </w:t>
      </w:r>
      <w:hyperlink r:id="rId8" w:history="1">
        <w:r>
          <w:rPr>
            <w:rStyle w:val="Hyperlink"/>
          </w:rPr>
          <w:t>https://doi.org/10.1198/016214506000001437</w:t>
        </w:r>
      </w:hyperlink>
    </w:p>
    <w:p w14:paraId="4D983D5F" w14:textId="77777777" w:rsidR="008A3CB1" w:rsidRDefault="008A3CB1" w:rsidP="008A3CB1">
      <w:pPr>
        <w:spacing w:line="360" w:lineRule="auto"/>
      </w:pPr>
      <w:r>
        <w:t>Goel, A., Pasricha, P., Magris, M. and Kanniainen, J., 2025. Foundation time-series AI model for realized volatility forecasting. arXiv preprint arXiv:2505.11163. https://doi.org/10.48550/arXiv.2505.11163</w:t>
      </w:r>
    </w:p>
    <w:p w14:paraId="64773F80" w14:textId="77777777" w:rsidR="008A3CB1" w:rsidRDefault="008A3CB1" w:rsidP="008A3CB1">
      <w:pPr>
        <w:spacing w:line="360" w:lineRule="auto"/>
      </w:pPr>
      <w:r>
        <w:t xml:space="preserve">Guidolin, M. (2011) 'Markov switching models in empirical finance', in Drukker, D.M. (ed.) </w:t>
      </w:r>
      <w:r>
        <w:rPr>
          <w:i/>
          <w:iCs/>
        </w:rPr>
        <w:t>Missing Data Methods: Time-Series Methods and Applications</w:t>
      </w:r>
      <w:r>
        <w:t xml:space="preserve"> (Advances in Econometrics, Vol. 27, Part B). Bingley: Emerald Group Publishing, pp. 1–86.</w:t>
      </w:r>
    </w:p>
    <w:p w14:paraId="4DCBF11C" w14:textId="77777777" w:rsidR="008A3CB1" w:rsidRPr="00591BF3" w:rsidRDefault="008A3CB1" w:rsidP="008A3CB1">
      <w:pPr>
        <w:spacing w:line="360" w:lineRule="auto"/>
      </w:pPr>
      <w:r>
        <w:t xml:space="preserve">Gu, S., Kelly, B. and Xiu, D., 2020. Empirical asset pricing via machine learning. </w:t>
      </w:r>
      <w:r>
        <w:rPr>
          <w:i/>
          <w:iCs/>
        </w:rPr>
        <w:t>The Review of Financial Studies</w:t>
      </w:r>
      <w:r>
        <w:t xml:space="preserve">, </w:t>
      </w:r>
      <w:r>
        <w:rPr>
          <w:i/>
          <w:iCs/>
        </w:rPr>
        <w:t>33</w:t>
      </w:r>
      <w:r>
        <w:t>(5), pp.2223-2273.</w:t>
      </w:r>
    </w:p>
    <w:p w14:paraId="23ED9052" w14:textId="77777777" w:rsidR="008A3CB1" w:rsidRDefault="008A3CB1" w:rsidP="008A3CB1">
      <w:pPr>
        <w:spacing w:line="360" w:lineRule="auto"/>
      </w:pPr>
      <w:r>
        <w:t xml:space="preserve">Gunnarsson, E.S., Isern, H.R., Kaloudis, A., Risstad, M., Vigdel, B. and Westgaard, S., 2024. Prediction of realized volatility and implied volatility indices using AI and machine learning: a review. </w:t>
      </w:r>
      <w:r>
        <w:rPr>
          <w:i/>
        </w:rPr>
        <w:t>International Review of Financial Analysis</w:t>
      </w:r>
      <w:r>
        <w:t>, 93, 103221. https://doi.org/10.1016/j.irfa.2024.103221</w:t>
      </w:r>
    </w:p>
    <w:p w14:paraId="6BC668C3" w14:textId="77777777" w:rsidR="008A3CB1" w:rsidRDefault="008A3CB1" w:rsidP="008A3CB1">
      <w:pPr>
        <w:spacing w:line="360" w:lineRule="auto"/>
      </w:pPr>
      <w:r>
        <w:t xml:space="preserve">Hamilton, J.D., 1989. A new approach to the economic analysis of nonstationary time series and the business cycle. </w:t>
      </w:r>
      <w:r>
        <w:rPr>
          <w:i/>
        </w:rPr>
        <w:t>Econometrica</w:t>
      </w:r>
      <w:r>
        <w:t>, 57(2), pp.357–384. https://doi.org/10.2307/1912559</w:t>
      </w:r>
    </w:p>
    <w:p w14:paraId="35ADEBEA" w14:textId="77777777" w:rsidR="008A3CB1" w:rsidRDefault="008A3CB1" w:rsidP="008A3CB1">
      <w:pPr>
        <w:spacing w:line="360" w:lineRule="auto"/>
      </w:pPr>
      <w:r>
        <w:t xml:space="preserve">Hansen, P.R., Huang, Z. and Shek, H.H., 2012. Realized GARCH: a joint model for returns and realized measures of volatility. </w:t>
      </w:r>
      <w:r>
        <w:rPr>
          <w:i/>
        </w:rPr>
        <w:t>Journal of Applied Econometrics</w:t>
      </w:r>
      <w:r>
        <w:t>, 27(6), pp.877–906. https://doi.org/10.1002/jae.1234</w:t>
      </w:r>
    </w:p>
    <w:p w14:paraId="6C403936" w14:textId="77777777" w:rsidR="008A3CB1" w:rsidRDefault="008A3CB1" w:rsidP="008A3CB1">
      <w:pPr>
        <w:spacing w:line="360" w:lineRule="auto"/>
      </w:pPr>
      <w:r>
        <w:t xml:space="preserve">Hansen, P.R. and Lunde, A., 2005. A forecast comparison of volatility models: does anything beat a GARCH(1,1)? </w:t>
      </w:r>
      <w:r>
        <w:rPr>
          <w:i/>
        </w:rPr>
        <w:t>Journal of Applied Econometrics</w:t>
      </w:r>
      <w:r>
        <w:t>, 20(7), pp.873–889. https://doi.org/10.1002/jae.800</w:t>
      </w:r>
    </w:p>
    <w:p w14:paraId="76DFB836" w14:textId="77777777" w:rsidR="008A3CB1" w:rsidRDefault="008A3CB1" w:rsidP="008A3CB1">
      <w:pPr>
        <w:spacing w:line="360" w:lineRule="auto"/>
      </w:pPr>
      <w:r>
        <w:t xml:space="preserve">Hansen, P.R., Lunde, A. and Nason, J.M., 2011. The model confidence set. </w:t>
      </w:r>
      <w:r>
        <w:rPr>
          <w:i/>
        </w:rPr>
        <w:t>Econometrica</w:t>
      </w:r>
      <w:r>
        <w:t>, 79(2), pp.453–497. https://doi.org/10.3982/ECTA5771</w:t>
      </w:r>
    </w:p>
    <w:p w14:paraId="7FAAE986" w14:textId="77777777" w:rsidR="008A3CB1" w:rsidRDefault="008A3CB1" w:rsidP="008A3CB1">
      <w:pPr>
        <w:spacing w:line="360" w:lineRule="auto"/>
      </w:pPr>
      <w:r>
        <w:t>Heber, G., Lunde, A., Shephard, N. and Sheppard, K., 2009. Oxford-Man Institute’s realized library. Oxford-Man Institute, University of Oxford.</w:t>
      </w:r>
    </w:p>
    <w:p w14:paraId="5ACDA7E6" w14:textId="77777777" w:rsidR="008A3CB1" w:rsidRDefault="008A3CB1" w:rsidP="008A3CB1">
      <w:pPr>
        <w:spacing w:line="360" w:lineRule="auto"/>
      </w:pPr>
      <w:r w:rsidRPr="00FE7C2A">
        <w:t xml:space="preserve">Hochreiter, S. and Schmidhuber, J., 1997. </w:t>
      </w:r>
      <w:r>
        <w:t xml:space="preserve">Long short-term memory. </w:t>
      </w:r>
      <w:r>
        <w:rPr>
          <w:i/>
        </w:rPr>
        <w:t>Neural Computation</w:t>
      </w:r>
      <w:r>
        <w:t>, 9(8), pp.1735–1780. https://doi.org/10.1162/neco.1997.9.8.1735</w:t>
      </w:r>
    </w:p>
    <w:p w14:paraId="1EAF03E4" w14:textId="77777777" w:rsidR="008A3CB1" w:rsidRDefault="008A3CB1" w:rsidP="008A3CB1">
      <w:pPr>
        <w:spacing w:line="360" w:lineRule="auto"/>
      </w:pPr>
      <w:r>
        <w:lastRenderedPageBreak/>
        <w:t xml:space="preserve">Isik, M. and Yalcinkaya, M.A., 2026. Integrated regime-aware wind power forecasting using multi-altitude meteorological features and hybrid machine learning. </w:t>
      </w:r>
      <w:r>
        <w:rPr>
          <w:i/>
        </w:rPr>
        <w:t>Frontiers in Energy Research</w:t>
      </w:r>
      <w:r>
        <w:t>, 13, 1686125. https://doi.org/10.3389/fenrg.2025.1686125</w:t>
      </w:r>
    </w:p>
    <w:p w14:paraId="3B34F36E" w14:textId="77777777" w:rsidR="008A3CB1" w:rsidRDefault="008A3CB1" w:rsidP="008A3CB1">
      <w:pPr>
        <w:spacing w:line="360" w:lineRule="auto"/>
      </w:pPr>
      <w:r>
        <w:t xml:space="preserve">Kılıç, R., 2025. Linear and nonlinear econometric models against machine learning models: realized volatility prediction. </w:t>
      </w:r>
      <w:r>
        <w:rPr>
          <w:i/>
        </w:rPr>
        <w:t>Finance and Economics Discussion Series</w:t>
      </w:r>
      <w:r>
        <w:t xml:space="preserve"> 2025-061. Board of Governors of the Federal Reserve System. https://doi.org/10.17016/FEDS.2025.061</w:t>
      </w:r>
    </w:p>
    <w:p w14:paraId="796BA63D" w14:textId="77777777" w:rsidR="008A3CB1" w:rsidRDefault="008A3CB1" w:rsidP="008A3CB1">
      <w:pPr>
        <w:spacing w:line="360" w:lineRule="auto"/>
      </w:pPr>
      <w:r>
        <w:t xml:space="preserve">Kim, S., Shephard, N. and Chib, S., 1998. Stochastic volatility: likelihood inference and comparison with ARCH models. </w:t>
      </w:r>
      <w:r>
        <w:rPr>
          <w:i/>
        </w:rPr>
        <w:t>The Review of Economic Studies</w:t>
      </w:r>
      <w:r>
        <w:t>, 65(3), pp.361–393. https://doi.org/10.1111/1467-937X.00050</w:t>
      </w:r>
    </w:p>
    <w:p w14:paraId="31D565DA" w14:textId="77777777" w:rsidR="008A3CB1" w:rsidRDefault="008A3CB1" w:rsidP="008A3CB1">
      <w:pPr>
        <w:spacing w:line="360" w:lineRule="auto"/>
      </w:pPr>
      <w:r>
        <w:t xml:space="preserve">Kim, H.Y. and Won, C.H., 2018. Forecasting the volatility of stock price index: a hybrid model integrating LSTM with multiple GARCH-type models. </w:t>
      </w:r>
      <w:r>
        <w:rPr>
          <w:i/>
        </w:rPr>
        <w:t>Expert Systems with Applications</w:t>
      </w:r>
      <w:r>
        <w:t>, 103, pp.25–37. https://doi.org/10.1016/j.eswa.2018.03.002</w:t>
      </w:r>
    </w:p>
    <w:p w14:paraId="62B1210D" w14:textId="77777777" w:rsidR="008A3CB1" w:rsidRDefault="008A3CB1" w:rsidP="008A3CB1">
      <w:pPr>
        <w:spacing w:line="360" w:lineRule="auto"/>
      </w:pPr>
      <w:r>
        <w:t xml:space="preserve">Kumar, P.N., Umeorah, N. and Alochukwu, A., 2026. Regime-dependent graph neural networks for enhanced volatility prediction in financial markets. </w:t>
      </w:r>
      <w:r>
        <w:rPr>
          <w:i/>
        </w:rPr>
        <w:t>Mathematics</w:t>
      </w:r>
      <w:r>
        <w:t>, 14(2), 289. https://doi.org/10.3390/math14020289</w:t>
      </w:r>
    </w:p>
    <w:p w14:paraId="404DED27" w14:textId="77777777" w:rsidR="008A3CB1" w:rsidRDefault="008A3CB1" w:rsidP="008A3CB1">
      <w:pPr>
        <w:spacing w:line="360" w:lineRule="auto"/>
      </w:pPr>
      <w:r>
        <w:t xml:space="preserve">Lakshminarayanan, B., Pritzel, A. and Blundell, C., 2017. Simple and scalable predictive uncertainty estimation using deep ensembles. In: </w:t>
      </w:r>
      <w:r>
        <w:rPr>
          <w:i/>
        </w:rPr>
        <w:t>Advances in Neural Information Processing Systems 30 (NeurIPS 2017)</w:t>
      </w:r>
      <w:r>
        <w:t>.</w:t>
      </w:r>
    </w:p>
    <w:p w14:paraId="088FCD8F" w14:textId="77777777" w:rsidR="008A3CB1" w:rsidRDefault="008A3CB1" w:rsidP="008A3CB1">
      <w:pPr>
        <w:spacing w:line="360" w:lineRule="auto"/>
      </w:pPr>
      <w:r>
        <w:t xml:space="preserve">Lim, B., Arık, S.Ö., Loeff, N. and Pfister, T., 2021. Temporal fusion transformers for interpretable multi-horizon time series forecasting. </w:t>
      </w:r>
      <w:r>
        <w:rPr>
          <w:i/>
        </w:rPr>
        <w:t>International Journal of Forecasting</w:t>
      </w:r>
      <w:r>
        <w:t>, 37(4), pp.1748–1764. https://doi.org/10.1016/j.ijforecast.2021.03.012</w:t>
      </w:r>
    </w:p>
    <w:p w14:paraId="0FCD9901" w14:textId="77777777" w:rsidR="008A3CB1" w:rsidRDefault="008A3CB1" w:rsidP="008A3CB1">
      <w:pPr>
        <w:spacing w:line="360" w:lineRule="auto"/>
      </w:pPr>
      <w:r>
        <w:t xml:space="preserve">Lim, B. and Zohren, S., 2021. Time-series forecasting with deep learning: a survey. </w:t>
      </w:r>
      <w:r>
        <w:rPr>
          <w:i/>
        </w:rPr>
        <w:t>Philosophical Transactions of the Royal Society A</w:t>
      </w:r>
      <w:r>
        <w:t xml:space="preserve">, 379(2194), 20200209. </w:t>
      </w:r>
      <w:hyperlink r:id="rId9" w:history="1">
        <w:r>
          <w:rPr>
            <w:rStyle w:val="Hyperlink"/>
          </w:rPr>
          <w:t>https://doi.org/10.1098/rsta.2020.0209</w:t>
        </w:r>
      </w:hyperlink>
    </w:p>
    <w:p w14:paraId="5D737BBA" w14:textId="77777777" w:rsidR="008A3CB1" w:rsidRDefault="008A3CB1" w:rsidP="008A3CB1">
      <w:pPr>
        <w:spacing w:line="360" w:lineRule="auto"/>
      </w:pPr>
      <w:r>
        <w:t xml:space="preserve">Makridakis, S., Spiliotis, E. and Assimakopoulos, V., 2020. The M4 Competition: 100,000 time series and 61 forecasting methods. </w:t>
      </w:r>
      <w:r>
        <w:rPr>
          <w:i/>
          <w:iCs/>
        </w:rPr>
        <w:t>International Journal of Forecasting</w:t>
      </w:r>
      <w:r>
        <w:t xml:space="preserve">, </w:t>
      </w:r>
      <w:r>
        <w:rPr>
          <w:i/>
          <w:iCs/>
        </w:rPr>
        <w:t>36</w:t>
      </w:r>
      <w:r>
        <w:t>(1), pp.54-74.</w:t>
      </w:r>
    </w:p>
    <w:p w14:paraId="325E6989" w14:textId="77777777" w:rsidR="008A3CB1" w:rsidRDefault="008A3CB1" w:rsidP="008A3CB1">
      <w:pPr>
        <w:spacing w:line="360" w:lineRule="auto"/>
      </w:pPr>
      <w:r>
        <w:t xml:space="preserve">Moreno-Pino, F. and Zohren, S., 2024. DeepVol: volatility forecasting from high-frequency data with dilated causal convolutions. </w:t>
      </w:r>
      <w:r>
        <w:rPr>
          <w:i/>
        </w:rPr>
        <w:t>Quantitative Finance</w:t>
      </w:r>
      <w:r>
        <w:t>. https://doi.org/10.1080/14697688.2024.2387222</w:t>
      </w:r>
    </w:p>
    <w:p w14:paraId="6B0373E0" w14:textId="77777777" w:rsidR="008A3CB1" w:rsidRDefault="008A3CB1" w:rsidP="008A3CB1">
      <w:pPr>
        <w:spacing w:line="360" w:lineRule="auto"/>
      </w:pPr>
      <w:r>
        <w:t xml:space="preserve">Nelson, D.B., 1991. Conditional heteroskedasticity in asset returns: a new approach. </w:t>
      </w:r>
      <w:r>
        <w:rPr>
          <w:i/>
        </w:rPr>
        <w:t>Econometrica</w:t>
      </w:r>
      <w:r>
        <w:t>, 59(2), pp.347–370. https://doi.org/10.2307/2938260</w:t>
      </w:r>
    </w:p>
    <w:p w14:paraId="7E8140AC" w14:textId="77777777" w:rsidR="008A3CB1" w:rsidRDefault="008A3CB1" w:rsidP="008A3CB1">
      <w:pPr>
        <w:spacing w:line="360" w:lineRule="auto"/>
      </w:pPr>
      <w:r>
        <w:lastRenderedPageBreak/>
        <w:t xml:space="preserve">Nystrup, P., Lindstrom, E. and Madsen, H., 2020. Learning hidden Markov models with persistent states by penalizing jumps. </w:t>
      </w:r>
      <w:r>
        <w:rPr>
          <w:i/>
        </w:rPr>
        <w:t>Expert Systems with Applications</w:t>
      </w:r>
      <w:r>
        <w:t>, 150, 113307. https://doi.org/10.1016/j.eswa.2020.113307</w:t>
      </w:r>
    </w:p>
    <w:p w14:paraId="3F9B00B1" w14:textId="77777777" w:rsidR="008A3CB1" w:rsidRDefault="008A3CB1" w:rsidP="008A3CB1">
      <w:pPr>
        <w:spacing w:line="360" w:lineRule="auto"/>
      </w:pPr>
      <w:r>
        <w:t xml:space="preserve">Ovadia, Y., Fertig, E., Ren, J., Nado, Z., Sculley, D., Nowozin, S., Dillon, J.V., Lakshminarayanan, B. and Snoek, J., 2019. Can you trust your model’s uncertainty? Evaluating predictive uncertainty under dataset shift. In: </w:t>
      </w:r>
      <w:r>
        <w:rPr>
          <w:i/>
        </w:rPr>
        <w:t>Advances in Neural Information Processing Systems 32 (NeurIPS 2019)</w:t>
      </w:r>
      <w:r>
        <w:t>.</w:t>
      </w:r>
    </w:p>
    <w:p w14:paraId="38766A08" w14:textId="77777777" w:rsidR="008A3CB1" w:rsidRDefault="008A3CB1" w:rsidP="008A3CB1">
      <w:pPr>
        <w:spacing w:line="360" w:lineRule="auto"/>
      </w:pPr>
      <w:r>
        <w:t xml:space="preserve">Patton, A.J., 2011. Volatility forecast comparison using imperfect volatility proxies. </w:t>
      </w:r>
      <w:r>
        <w:rPr>
          <w:i/>
        </w:rPr>
        <w:t>Journal of Econometrics</w:t>
      </w:r>
      <w:r>
        <w:t xml:space="preserve">, 160(1), pp.246–256. https://doi.org/10.1016/j.jeconom.2010.03.034 </w:t>
      </w:r>
    </w:p>
    <w:p w14:paraId="31CE85AE" w14:textId="77777777" w:rsidR="008A3CB1" w:rsidRDefault="008A3CB1" w:rsidP="008A3CB1">
      <w:pPr>
        <w:spacing w:line="360" w:lineRule="auto"/>
      </w:pPr>
      <w:r>
        <w:t xml:space="preserve">Reisenhofer, R., Bayer, X. and Hautsch, N., 2022. HARNet: a convolutional neural network for realized volatility forecasting. </w:t>
      </w:r>
      <w:r>
        <w:rPr>
          <w:i/>
        </w:rPr>
        <w:t>arXiv preprint arXiv:2205.07719</w:t>
      </w:r>
      <w:r>
        <w:t>. https://doi.org/10.48550/arXiv.2205.07719</w:t>
      </w:r>
    </w:p>
    <w:p w14:paraId="5AEB36B5" w14:textId="77777777" w:rsidR="008A3CB1" w:rsidRDefault="008A3CB1" w:rsidP="008A3CB1">
      <w:pPr>
        <w:spacing w:line="360" w:lineRule="auto"/>
      </w:pPr>
      <w:r>
        <w:t xml:space="preserve">Romano, Y., Patterson, E. and Candès, E., 2019. Conformalized quantile regression. In: </w:t>
      </w:r>
      <w:r>
        <w:rPr>
          <w:i/>
        </w:rPr>
        <w:t>Advances in Neural Information Processing Systems 32 (NeurIPS 2019)</w:t>
      </w:r>
      <w:r>
        <w:t>.</w:t>
      </w:r>
    </w:p>
    <w:p w14:paraId="0C9E9712" w14:textId="77777777" w:rsidR="008A3CB1" w:rsidRDefault="008A3CB1" w:rsidP="008A3CB1">
      <w:pPr>
        <w:spacing w:line="360" w:lineRule="auto"/>
      </w:pPr>
      <w:r>
        <w:t xml:space="preserve">Song, J., Lee, H., Lee, J. and Chang, W., 2025. Forecasting realized volatility using deep learning quantile function. </w:t>
      </w:r>
      <w:r>
        <w:rPr>
          <w:i/>
        </w:rPr>
        <w:t>Applied Soft Computing</w:t>
      </w:r>
      <w:r>
        <w:t>, 175, 113016. https://doi.org/10.1016/j.asoc.2025.113016</w:t>
      </w:r>
    </w:p>
    <w:p w14:paraId="3B1654CC" w14:textId="77777777" w:rsidR="008A3CB1" w:rsidRDefault="008A3CB1" w:rsidP="008A3CB1">
      <w:pPr>
        <w:spacing w:line="360" w:lineRule="auto"/>
      </w:pPr>
      <w:r>
        <w:t xml:space="preserve">Taneva-Angelova, G. and Granchev, D., 2025. Deep learning and transformer architectures for volatility forecasting: evidence from U.S. equity indices. </w:t>
      </w:r>
      <w:r>
        <w:rPr>
          <w:i/>
        </w:rPr>
        <w:t>Journal of Risk and Financial Management</w:t>
      </w:r>
      <w:r>
        <w:t>, 18(12), 685. https://doi.org/10.3390/jrfm18120685</w:t>
      </w:r>
    </w:p>
    <w:p w14:paraId="62BFE5FB" w14:textId="77777777" w:rsidR="008A3CB1" w:rsidRDefault="008A3CB1" w:rsidP="008A3CB1">
      <w:pPr>
        <w:spacing w:line="360" w:lineRule="auto"/>
      </w:pPr>
      <w:r>
        <w:t xml:space="preserve">Taylor, S.J., 1986. </w:t>
      </w:r>
      <w:r>
        <w:rPr>
          <w:i/>
        </w:rPr>
        <w:t>Modelling Financial Time Series</w:t>
      </w:r>
      <w:r>
        <w:t>. Chichester: John Wiley &amp; Sons.</w:t>
      </w:r>
    </w:p>
    <w:p w14:paraId="76E6C026" w14:textId="77777777" w:rsidR="008A3CB1" w:rsidRDefault="008A3CB1" w:rsidP="008A3CB1">
      <w:pPr>
        <w:spacing w:line="360" w:lineRule="auto"/>
      </w:pPr>
      <w:r>
        <w:t xml:space="preserve">Vaswani, A., Shazeer, N., Parmar, N., Uszkoreit, J., Jones, L., Gomez, A.N., Kaiser, Ł. and Polosukhin, I., 2017. Attention is all you need. In: </w:t>
      </w:r>
      <w:r>
        <w:rPr>
          <w:i/>
        </w:rPr>
        <w:t>Advances in Neural Information Processing Systems 30 (NeurIPS 2017)</w:t>
      </w:r>
      <w:r>
        <w:t>.</w:t>
      </w:r>
    </w:p>
    <w:p w14:paraId="0D665636" w14:textId="77777777" w:rsidR="008A3CB1" w:rsidRDefault="008A3CB1" w:rsidP="008A3CB1">
      <w:pPr>
        <w:spacing w:line="360" w:lineRule="auto"/>
      </w:pPr>
      <w:r>
        <w:t xml:space="preserve">Xu, C. and Xie, Y., 2021. Conformal prediction interval for dynamic time-series. In: </w:t>
      </w:r>
      <w:r>
        <w:rPr>
          <w:i/>
        </w:rPr>
        <w:t>Proceedings of the 38th International Conference on Machine Learning (ICML)</w:t>
      </w:r>
      <w:r>
        <w:t>, PMLR 139.</w:t>
      </w:r>
    </w:p>
    <w:p w14:paraId="2A061861" w14:textId="77777777" w:rsidR="008A3CB1" w:rsidRDefault="008A3CB1" w:rsidP="008A3CB1">
      <w:pPr>
        <w:spacing w:line="360" w:lineRule="auto"/>
      </w:pPr>
      <w:r>
        <w:t xml:space="preserve">Zeng, A., Chen, M., Zhang, L. and Xu, Q., 2023. Are transformers effective for time series forecasting? </w:t>
      </w:r>
      <w:r>
        <w:rPr>
          <w:i/>
        </w:rPr>
        <w:t>Proceedings of the AAAI Conference on Artificial Intelligence</w:t>
      </w:r>
      <w:r>
        <w:t>, 37(9), pp.11121–11128. https://doi.org/10.1609/aaai.v37i9.26317</w:t>
      </w:r>
    </w:p>
    <w:p w14:paraId="46E21502" w14:textId="77777777" w:rsidR="008A3CB1" w:rsidRDefault="008A3CB1" w:rsidP="008A3CB1">
      <w:pPr>
        <w:spacing w:line="360" w:lineRule="auto"/>
      </w:pPr>
      <w:r>
        <w:t xml:space="preserve">Zhang, C., Zhang, Y., Cucuringu, M. and Qian, Z., 2024. Volatility forecasting with machine learning and intraday commonality. </w:t>
      </w:r>
      <w:r>
        <w:rPr>
          <w:i/>
        </w:rPr>
        <w:t>Journal of Financial Econometrics</w:t>
      </w:r>
      <w:r>
        <w:t>, 22(2), pp.492–530. https://doi.org/10.1093/jjfinec/nbad005</w:t>
      </w:r>
    </w:p>
    <w:p w14:paraId="71E8A1DD" w14:textId="2560ECC0" w:rsidR="001350DB" w:rsidRPr="008A3CB1" w:rsidRDefault="008A3CB1" w:rsidP="00EF06BE">
      <w:pPr>
        <w:spacing w:line="360" w:lineRule="auto"/>
      </w:pPr>
      <w:r>
        <w:lastRenderedPageBreak/>
        <w:t xml:space="preserve">Zhang, L., Mykland, P.A. and Aït-Sahalia, Y., 2005. A tale of two time scales: determining integrated volatility with noisy high-frequency data. </w:t>
      </w:r>
      <w:r>
        <w:rPr>
          <w:i/>
        </w:rPr>
        <w:t>Journal of the American Statistical Association</w:t>
      </w:r>
      <w:r>
        <w:t>, 100(472), pp.1394–1411. https://doi.org/10.1198/016214505000000169</w:t>
      </w:r>
    </w:p>
    <w:sectPr w:rsidR="001350DB" w:rsidRPr="008A3CB1">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BA7EF" w14:textId="77777777" w:rsidR="009001F5" w:rsidRDefault="009001F5">
      <w:r>
        <w:separator/>
      </w:r>
    </w:p>
  </w:endnote>
  <w:endnote w:type="continuationSeparator" w:id="0">
    <w:p w14:paraId="337D7D90" w14:textId="77777777" w:rsidR="009001F5" w:rsidRDefault="00900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6708" w14:textId="77777777" w:rsidR="001350D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1293D" w14:textId="77777777" w:rsidR="009001F5" w:rsidRDefault="009001F5">
      <w:r>
        <w:separator/>
      </w:r>
    </w:p>
  </w:footnote>
  <w:footnote w:type="continuationSeparator" w:id="0">
    <w:p w14:paraId="715AF4F0" w14:textId="77777777" w:rsidR="009001F5" w:rsidRDefault="00900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85146"/>
    <w:multiLevelType w:val="hybridMultilevel"/>
    <w:tmpl w:val="28887528"/>
    <w:lvl w:ilvl="0" w:tplc="E4DA126C">
      <w:start w:val="1"/>
      <w:numFmt w:val="bullet"/>
      <w:lvlText w:val="●"/>
      <w:lvlJc w:val="left"/>
      <w:pPr>
        <w:ind w:left="720" w:hanging="360"/>
      </w:pPr>
    </w:lvl>
    <w:lvl w:ilvl="1" w:tplc="3A4E2396">
      <w:start w:val="1"/>
      <w:numFmt w:val="bullet"/>
      <w:lvlText w:val="○"/>
      <w:lvlJc w:val="left"/>
      <w:pPr>
        <w:ind w:left="1440" w:hanging="360"/>
      </w:pPr>
    </w:lvl>
    <w:lvl w:ilvl="2" w:tplc="B3A078D8">
      <w:start w:val="1"/>
      <w:numFmt w:val="bullet"/>
      <w:lvlText w:val="■"/>
      <w:lvlJc w:val="left"/>
      <w:pPr>
        <w:ind w:left="2160" w:hanging="360"/>
      </w:pPr>
    </w:lvl>
    <w:lvl w:ilvl="3" w:tplc="52F4B64E">
      <w:start w:val="1"/>
      <w:numFmt w:val="bullet"/>
      <w:lvlText w:val="●"/>
      <w:lvlJc w:val="left"/>
      <w:pPr>
        <w:ind w:left="2880" w:hanging="360"/>
      </w:pPr>
    </w:lvl>
    <w:lvl w:ilvl="4" w:tplc="73E4596C">
      <w:start w:val="1"/>
      <w:numFmt w:val="bullet"/>
      <w:lvlText w:val="○"/>
      <w:lvlJc w:val="left"/>
      <w:pPr>
        <w:ind w:left="3600" w:hanging="360"/>
      </w:pPr>
    </w:lvl>
    <w:lvl w:ilvl="5" w:tplc="F00ED37E">
      <w:start w:val="1"/>
      <w:numFmt w:val="bullet"/>
      <w:lvlText w:val="■"/>
      <w:lvlJc w:val="left"/>
      <w:pPr>
        <w:ind w:left="4320" w:hanging="360"/>
      </w:pPr>
    </w:lvl>
    <w:lvl w:ilvl="6" w:tplc="46DA9940">
      <w:start w:val="1"/>
      <w:numFmt w:val="bullet"/>
      <w:lvlText w:val="●"/>
      <w:lvlJc w:val="left"/>
      <w:pPr>
        <w:ind w:left="5040" w:hanging="360"/>
      </w:pPr>
    </w:lvl>
    <w:lvl w:ilvl="7" w:tplc="D57A22A6">
      <w:start w:val="1"/>
      <w:numFmt w:val="bullet"/>
      <w:lvlText w:val="●"/>
      <w:lvlJc w:val="left"/>
      <w:pPr>
        <w:ind w:left="5760" w:hanging="360"/>
      </w:pPr>
    </w:lvl>
    <w:lvl w:ilvl="8" w:tplc="C3868F5A">
      <w:start w:val="1"/>
      <w:numFmt w:val="bullet"/>
      <w:lvlText w:val="●"/>
      <w:lvlJc w:val="left"/>
      <w:pPr>
        <w:ind w:left="6480" w:hanging="360"/>
      </w:pPr>
    </w:lvl>
  </w:abstractNum>
  <w:abstractNum w:abstractNumId="1" w15:restartNumberingAfterBreak="0">
    <w:nsid w:val="2C1AE401"/>
    <w:multiLevelType w:val="multilevel"/>
    <w:tmpl w:val="CD76A6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32751930">
    <w:abstractNumId w:val="0"/>
    <w:lvlOverride w:ilvl="0">
      <w:startOverride w:val="1"/>
    </w:lvlOverride>
  </w:num>
  <w:num w:numId="2" w16cid:durableId="1645769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40BF"/>
    <w:rsid w:val="0002510C"/>
    <w:rsid w:val="00054EEB"/>
    <w:rsid w:val="00092F56"/>
    <w:rsid w:val="000B2071"/>
    <w:rsid w:val="000F1C49"/>
    <w:rsid w:val="001350DB"/>
    <w:rsid w:val="0014729D"/>
    <w:rsid w:val="00195015"/>
    <w:rsid w:val="002D317C"/>
    <w:rsid w:val="003242E7"/>
    <w:rsid w:val="00332D3D"/>
    <w:rsid w:val="00386811"/>
    <w:rsid w:val="00416B3E"/>
    <w:rsid w:val="00420BD2"/>
    <w:rsid w:val="004705F8"/>
    <w:rsid w:val="00474AA6"/>
    <w:rsid w:val="00485F53"/>
    <w:rsid w:val="004E29B3"/>
    <w:rsid w:val="00501376"/>
    <w:rsid w:val="005576B8"/>
    <w:rsid w:val="005725DA"/>
    <w:rsid w:val="005808B1"/>
    <w:rsid w:val="0058627D"/>
    <w:rsid w:val="00590D07"/>
    <w:rsid w:val="00591BF3"/>
    <w:rsid w:val="0059202A"/>
    <w:rsid w:val="005F12B6"/>
    <w:rsid w:val="006C6E53"/>
    <w:rsid w:val="00755AB9"/>
    <w:rsid w:val="00782DE2"/>
    <w:rsid w:val="00784D58"/>
    <w:rsid w:val="00787B48"/>
    <w:rsid w:val="007F4343"/>
    <w:rsid w:val="008A3CB1"/>
    <w:rsid w:val="008D6863"/>
    <w:rsid w:val="009001F5"/>
    <w:rsid w:val="009075B2"/>
    <w:rsid w:val="00942266"/>
    <w:rsid w:val="00944466"/>
    <w:rsid w:val="0096583B"/>
    <w:rsid w:val="009B1F6F"/>
    <w:rsid w:val="009F4767"/>
    <w:rsid w:val="009F76F6"/>
    <w:rsid w:val="00A24F2F"/>
    <w:rsid w:val="00A313D7"/>
    <w:rsid w:val="00A60971"/>
    <w:rsid w:val="00A6543D"/>
    <w:rsid w:val="00AB5EF4"/>
    <w:rsid w:val="00AC5D1D"/>
    <w:rsid w:val="00AF3761"/>
    <w:rsid w:val="00B07C30"/>
    <w:rsid w:val="00B602DA"/>
    <w:rsid w:val="00B73C32"/>
    <w:rsid w:val="00B86B75"/>
    <w:rsid w:val="00BC48D5"/>
    <w:rsid w:val="00BD2EA7"/>
    <w:rsid w:val="00C15075"/>
    <w:rsid w:val="00C36279"/>
    <w:rsid w:val="00C73EF9"/>
    <w:rsid w:val="00C95AC7"/>
    <w:rsid w:val="00CB0E22"/>
    <w:rsid w:val="00CB5259"/>
    <w:rsid w:val="00D27391"/>
    <w:rsid w:val="00D274D1"/>
    <w:rsid w:val="00DD2CCA"/>
    <w:rsid w:val="00E07317"/>
    <w:rsid w:val="00E315A3"/>
    <w:rsid w:val="00E31F36"/>
    <w:rsid w:val="00E35D17"/>
    <w:rsid w:val="00E5410D"/>
    <w:rsid w:val="00E659D3"/>
    <w:rsid w:val="00EF06BE"/>
    <w:rsid w:val="00F04186"/>
    <w:rsid w:val="00F33024"/>
    <w:rsid w:val="00F87DA5"/>
    <w:rsid w:val="00FB4C2A"/>
    <w:rsid w:val="00FE7C2A"/>
    <w:rsid w:val="00FF1C10"/>
    <w:rsid w:val="00FF3A8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C2FA8"/>
  <w15:docId w15:val="{C8566AA2-DFFB-45F4-BA4A-4E4BC4DE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40"/>
      <w:outlineLvl w:val="0"/>
    </w:pPr>
    <w:rPr>
      <w:b/>
      <w:bCs/>
      <w:color w:val="000000"/>
      <w:sz w:val="36"/>
      <w:szCs w:val="36"/>
    </w:rPr>
  </w:style>
  <w:style w:type="paragraph" w:styleId="Heading2">
    <w:name w:val="heading 2"/>
    <w:link w:val="Heading2Char"/>
    <w:uiPriority w:val="9"/>
    <w:unhideWhenUsed/>
    <w:qFormat/>
    <w:pPr>
      <w:spacing w:before="280" w:after="14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86FE0"/>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Heading1Char">
    <w:name w:val="Heading 1 Char"/>
    <w:basedOn w:val="DefaultParagraphFont"/>
    <w:link w:val="Heading1"/>
    <w:uiPriority w:val="9"/>
    <w:rsid w:val="008A3CB1"/>
    <w:rPr>
      <w:b/>
      <w:bCs/>
      <w:color w:val="000000"/>
      <w:sz w:val="36"/>
      <w:szCs w:val="36"/>
    </w:rPr>
  </w:style>
  <w:style w:type="character" w:customStyle="1" w:styleId="Heading2Char">
    <w:name w:val="Heading 2 Char"/>
    <w:basedOn w:val="DefaultParagraphFont"/>
    <w:link w:val="Heading2"/>
    <w:uiPriority w:val="9"/>
    <w:rsid w:val="008A3CB1"/>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198/0162145060000014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98/rsta.2020.02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2544F00-EAC6-4784-891F-B29E110FE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7100</Words>
  <Characters>40473</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Chapter 2 Literature Review (recovered)</vt:lpstr>
    </vt:vector>
  </TitlesOfParts>
  <Company/>
  <LinksUpToDate>false</LinksUpToDate>
  <CharactersWithSpaces>47479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Literature Review (recovered)</dc:title>
  <cp:lastModifiedBy>AL SHAMALI, UBAY (PGT)</cp:lastModifiedBy>
  <cp:revision>37</cp:revision>
  <dcterms:created xsi:type="dcterms:W3CDTF">2026-06-30T00:45:00Z</dcterms:created>
  <dcterms:modified xsi:type="dcterms:W3CDTF">2026-08-19T00:32:00Z</dcterms:modified>
</cp:coreProperties>
</file>