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Bdr>
          <w:bottom w:val="single" w:color="BFBFBF" w:sz="6" w:space="8"/>
        </w:pBdr>
        <w:spacing w:after="320"/>
      </w:pPr>
      <w:r>
        <w:rPr>
          <w:rFonts w:ascii="Calibri" w:cs="Calibri" w:eastAsia="Calibri" w:hAnsi="Calibri"/>
          <w:i/>
          <w:iCs/>
          <w:color w:val="444444"/>
          <w:sz w:val="19"/>
          <w:szCs w:val="19"/>
        </w:rPr>
        <w:t xml:space="preserve">Sections 3.1 to 3.9 — one figure, seven tables, seven equations.</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 xml:space="preserve">This chapter specifies the forecasting method: the data it requires, how each component is built, how its parameters are chosen, and how the forecasts are judged. It is written to be reproducible by a reader who has not seen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 xml:space="preserve">The paradigm is a controlled comparative evaluation. Chapter 2 found the gap here to be one of integration rather than invention, the econometric, regime-switching, deep-learning and uncertainty-quantification traditions having matured separately. The object under test is therefore the assembled pipeline, not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scoring rules.</w:t>
      </w:r>
    </w:p>
    <w:p>
      <w:pPr>
        <w:spacing w:after="160" w:line="320"/>
        <w:jc w:val="both"/>
      </w:pPr>
      <w:r>
        <w:rPr>
          <w:rFonts w:ascii="Calibri" w:cs="Calibri" w:eastAsia="Calibri" w:hAnsi="Calibri"/>
          <w:color w:val="111111"/>
          <w:sz w:val="22"/>
          <w:szCs w:val="22"/>
        </w:rPr>
        <w:t xml:space="preserve">Figure 3.1 shows the pipeline, Sections 3.2 to 3.7 taking its stages in order. The target is realised variance rather than realised volatility, every loss computed on the variance scale, and Table 3.1 fixes each model's role. A single primary asset is evaluated, a scope decision revisited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 xml:space="preserve">Table 3.1  Model inventory: the role each model plays in the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240" w:before="60"/>
      </w:pPr>
      <w:r>
        <w:rPr>
          <w:rFonts w:ascii="Calibri" w:cs="Calibri" w:eastAsia="Calibri" w:hAnsi="Calibri"/>
          <w:i/>
          <w:iCs/>
          <w:color w:val="444444"/>
          <w:sz w:val="18"/>
          <w:szCs w:val="18"/>
        </w:rPr>
        <w:t xml:space="preserve">Table 3.1. The terms in the left-hand column are used with these meanings in every subsequent chapter.</w:t>
      </w:r>
    </w:p>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 xml:space="preserve">Figure 3.1. The forecasting pipeline. Solid arrows carry data; the dashed arrow carries the regime signal, estimated on the training window only.</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 xml:space="preserve">The method is specified against a data interface, not a data source: any series meeting the requirements below drives the pipeline unchanged, and Chapter 4 names the series used. The dependent variable is the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 xml:space="preserve">Predictor requirements stay modest, the comparison in Section 3.4 being interpretable only if every model draws on the same information set. Table 3.2 gives the interface; an auxiliary implied-volatility series must price options on the same market as the target, one from another market being a spillover experiment rather than a feature. Rows with a missing value in a required field are dropped, never imputed, the missing quantity being the object forecast.</w:t>
      </w:r>
    </w:p>
    <w:p>
      <w:pPr>
        <w:spacing w:after="90" w:before="200"/>
      </w:pPr>
      <w:r>
        <w:rPr>
          <w:rFonts w:ascii="Calibri" w:cs="Calibri" w:eastAsia="Calibri" w:hAnsi="Calibri"/>
          <w:b/>
          <w:bCs/>
          <w:color w:val="111111"/>
          <w:sz w:val="19"/>
          <w:szCs w:val="19"/>
        </w:rPr>
        <w:t xml:space="preserve">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40" w:before="60"/>
      </w:pPr>
      <w:r>
        <w:rPr>
          <w:rFonts w:ascii="Calibri" w:cs="Calibri" w:eastAsia="Calibri" w:hAnsi="Calibri"/>
          <w:i/>
          <w:iCs/>
          <w:color w:val="444444"/>
          <w:sz w:val="18"/>
          <w:szCs w:val="18"/>
        </w:rPr>
        <w:t xml:space="preserve">Table 3.2. Data dictionary: what the method requires of any input series.</w:t>
      </w:r>
    </w:p>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training, validation and test windows as specified in Section 3.6.</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expectation-maximisation switches states faster than the data warrant (Nystrup, Lindström and Madsen, 2020). This design adopts their remedy, penalising switching directly, and keeps the maximum-likelihood fit as the comparator profile.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ℓ</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x</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ℓ</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a posterior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which prevents the penalty being tuned to the answer; a finer sweep is published alongside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 xml:space="preserve">What varies across the models of Table 3.1 is the information each may use and the form each may take, and only one varies at a time. Three econometric baselines close off a different competing explanation apiece, alongside a reference floor; Table 3.3 states what each rules out.</w:t>
      </w:r>
    </w:p>
    <w:p>
      <w:pPr>
        <w:spacing w:after="90" w:before="200"/>
      </w:pPr>
      <w:r>
        <w:rPr>
          <w:rFonts w:ascii="Calibri" w:cs="Calibri" w:eastAsia="Calibri" w:hAnsi="Calibri"/>
          <w:b/>
          <w:bCs/>
          <w:color w:val="111111"/>
          <w:sz w:val="19"/>
          <w:szCs w:val="19"/>
        </w:rPr>
        <w:t xml:space="preserve">Table 3.3  The baseline set and what each is there to rule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240" w:before="60"/>
      </w:pPr>
      <w:r>
        <w:rPr>
          <w:rFonts w:ascii="Calibri" w:cs="Calibri" w:eastAsia="Calibri" w:hAnsi="Calibri"/>
          <w:i/>
          <w:iCs/>
          <w:color w:val="444444"/>
          <w:sz w:val="18"/>
          <w:szCs w:val="18"/>
        </w:rPr>
        <w:t xml:space="preserve">Table 3.3. The baseline set. The conditional-variance models take open-to-close returns, matching the session-only realised measure; a close-to-close return embeds the overnight gap, which the ratio loss of Section 3.7 would read as forecast error.</w:t>
      </w:r>
    </w:p>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The alternative was attention — the Transformer (Vaswani et al., 2017) and the Temporal Fusion Transformer (Lim et al., 2021) — rejected on evidence rather than conservatism. Attention is data-hungry, precisely the regime in which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 xml:space="preserve">Two architectures condition that network on the regime signal, differing in where it enters. Regime as feature appends the lagged posterior to the input vector. A mixture of experts (Jacobs et al., 1991) trains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ŷ</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P</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k</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t|t−1</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t|t−1</w:t>
      </w:r>
      <w:r>
        <w:rPr>
          <w:rFonts w:ascii="Calibri" w:cs="Calibri" w:eastAsia="Calibri" w:hAnsi="Calibri"/>
          <w:color w:val="111111"/>
          <w:sz w:val="22"/>
          <w:szCs w:val="22"/>
        </w:rPr>
        <w:t xml:space="preserve"> is the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and the method adds uncertainty rather than a different forecast; only inference changes, the dropout staying active while the network runs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stochastic passes. Reusing the point model keeps the comparison clean: a difference in interval quality cannot then be a difference in the forecaster.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is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the first term the epistemic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p>
    <w:p>
      <w:pPr>
        <w:spacing w:after="160" w:line="320"/>
        <w:jc w:val="both"/>
      </w:pPr>
      <w:r>
        <w:rPr>
          <w:rFonts w:ascii="Calibri" w:cs="Calibri" w:eastAsia="Calibri" w:hAnsi="Calibri"/>
          <w:color w:val="111111"/>
          <w:sz w:val="22"/>
          <w:szCs w:val="22"/>
        </w:rPr>
        <w:t xml:space="preserve">The comparison method assumes no distribution: one network carries a multi-quantile head trained under the pinball loss (Koenker and Bassett, 1978), monotone by construction so quantiles cannot cross. That decides how it may be scored, a median head estimating a conditional median whereas the losses of Section 3.7 are defined for a mean, which on a right-skewed target differ systematically; its own quantiles identify a log-normal law, which Equation 3.4 converts. A third specification, the same network's deterministic forecast with an aleatoric-only interval, is an ablation isolating what the passes buy. Hyperparameters stay at the Section 3.6 values throughout.</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 xml:space="preserve">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the test block is touched once. Over it the models are re-estimated on an anchored walk-forward, the training window growing from the start of the sample, which beats a fixed-length rolling window because volatility regimes recur and discarding an early crisis would leave the model with no instance of the behaviour it most needs to have seen.</w:t>
      </w:r>
    </w:p>
    <w:p>
      <w:pPr>
        <w:spacing w:after="160" w:line="320"/>
        <w:jc w:val="both"/>
      </w:pPr>
      <w:r>
        <w:rPr>
          <w:rFonts w:ascii="Calibri" w:cs="Calibri" w:eastAsia="Calibri" w:hAnsi="Calibri"/>
          <w:color w:val="111111"/>
          <w:sz w:val="22"/>
          <w:szCs w:val="22"/>
        </w:rPr>
        <w:t xml:space="preserve">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w:t>
      </w:r>
    </w:p>
    <w:p>
      <w:pPr>
        <w:spacing w:after="90" w:before="200"/>
      </w:pPr>
      <w:r>
        <w:rPr>
          <w:rFonts w:ascii="Calibri" w:cs="Calibri" w:eastAsia="Calibri" w:hAnsi="Calibri"/>
          <w:b/>
          <w:bCs/>
          <w:color w:val="111111"/>
          <w:sz w:val="19"/>
          <w:szCs w:val="19"/>
        </w:rPr>
        <w:t xml:space="preserve">Table 3.4  Hyperparameters: meaning, candidates, selection and expected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bl>
    <w:p>
      <w:pPr>
        <w:spacing w:after="240" w:before="60"/>
      </w:pPr>
      <w:r>
        <w:rPr>
          <w:rFonts w:ascii="Calibri" w:cs="Calibri" w:eastAsia="Calibri" w:hAnsi="Calibri"/>
          <w:i/>
          <w:iCs/>
          <w:color w:val="444444"/>
          <w:sz w:val="18"/>
          <w:szCs w:val="18"/>
        </w:rPr>
        <w:t xml:space="preserve">Table 3.4. Hyperparameters. Selected values are reported in Chapter 4, being outcomes of the procedure.</w:t>
      </w:r>
    </w:p>
    <w:p>
      <w:pPr>
        <w:spacing w:after="160" w:line="320"/>
        <w:jc w:val="both"/>
      </w:pPr>
      <w:r>
        <w:rPr>
          <w:rFonts w:ascii="Calibri" w:cs="Calibri" w:eastAsia="Calibri" w:hAnsi="Calibri"/>
          <w:color w:val="111111"/>
          <w:sz w:val="22"/>
          <w:szCs w:val="22"/>
        </w:rPr>
        <w:t xml:space="preserve">One unswept decision in Table 3.4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 xml:space="preserve">Every model is scored on the same held-out block and dates, used once, so the losses are paired as the significance tests require. Table 3.5 lists the criteria and the question each answers; most are conventional and used conventionally, so they are named and cited rather than re-derived, while two depart from standard practice and are defined below.</w:t>
      </w:r>
    </w:p>
    <w:p>
      <w:pPr>
        <w:spacing w:after="90" w:before="200"/>
      </w:pPr>
      <w:r>
        <w:rPr>
          <w:rFonts w:ascii="Calibri" w:cs="Calibri" w:eastAsia="Calibri" w:hAnsi="Calibri"/>
          <w:b/>
          <w:bCs/>
          <w:color w:val="111111"/>
          <w:sz w:val="19"/>
          <w:szCs w:val="19"/>
        </w:rPr>
        <w:t xml:space="preserve">Table 3.5  Evaluation criteria and the question each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Christoffersen;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violations match the nominal rate, cluster, or are predictable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240" w:before="60"/>
      </w:pPr>
      <w:r>
        <w:rPr>
          <w:rFonts w:ascii="Calibri" w:cs="Calibri" w:eastAsia="Calibri" w:hAnsi="Calibri"/>
          <w:i/>
          <w:iCs/>
          <w:color w:val="444444"/>
          <w:sz w:val="18"/>
          <w:szCs w:val="18"/>
        </w:rPr>
        <w:t xml:space="preserve">Table 3.5. Evaluation criteria. The two departing from standard practice are defined in Equations 3.6 and 3.7.</w:t>
      </w:r>
    </w:p>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QLIKE is more often written without the final two terms; this form subtracts its value at a perfect forecast, so the loss is zero when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y</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w:t>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interval bounds,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 xml:space="preserve">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w:t>
      </w:r>
    </w:p>
    <w:p>
      <w:pPr>
        <w:spacing w:after="90" w:before="200"/>
      </w:pPr>
      <w:r>
        <w:rPr>
          <w:rFonts w:ascii="Calibri" w:cs="Calibri" w:eastAsia="Calibri" w:hAnsi="Calibri"/>
          <w:b/>
          <w:bCs/>
          <w:color w:val="111111"/>
          <w:sz w:val="19"/>
          <w:szCs w:val="19"/>
        </w:rPr>
        <w:t xml:space="preserve">Table 3.6  Minimum computational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203,139 (largest)</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Mixture of experts, </w:t>
            </w:r>
            <w:r>
              <w:rPr>
                <w:rFonts w:ascii="Calibri" w:cs="Calibri" w:eastAsia="Calibri" w:hAnsi="Calibri"/>
                <w:b w:val="false"/>
                <w:bCs w:val="false"/>
                <w:i/>
                <w:iCs/>
                <w:color w:val="444444"/>
                <w:sz w:val="18"/>
                <w:szCs w:val="18"/>
              </w:rPr>
              <w:t xml:space="preserve">K</w:t>
            </w:r>
            <w:r>
              <w:rPr>
                <w:rFonts w:ascii="Calibri" w:cs="Calibri" w:eastAsia="Calibri" w:hAnsi="Calibri"/>
                <w:b w:val="false"/>
                <w:bCs w:val="false"/>
                <w:color w:val="444444"/>
                <w:sz w:val="18"/>
                <w:szCs w:val="18"/>
              </w:rPr>
              <w:t xml:space="preserve"> = 3; unconditional network 67,713</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 0.8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Single precision</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&lt; 1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~5,500 daily rows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15 minutes</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Measured; hyperparameter search and tests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p>
      <w:pPr>
        <w:spacing w:after="240" w:before="60"/>
      </w:pPr>
      <w:r>
        <w:rPr>
          <w:rFonts w:ascii="Calibri" w:cs="Calibri" w:eastAsia="Calibri" w:hAnsi="Calibri"/>
          <w:i/>
          <w:iCs/>
          <w:color w:val="444444"/>
          <w:sz w:val="18"/>
          <w:szCs w:val="18"/>
        </w:rPr>
        <w:t xml:space="preserve">Table 3.6. Minimum computational requirements, derived from the architectures of Section 3.4.</w:t>
      </w:r>
    </w:p>
    <w:p>
      <w:pPr>
        <w:spacing w:after="160" w:line="320"/>
        <w:jc w:val="both"/>
      </w:pPr>
      <w:r>
        <w:rPr>
          <w:rFonts w:ascii="Calibri" w:cs="Calibri" w:eastAsia="Calibri" w:hAnsi="Calibri"/>
          <w:color w:val="111111"/>
          <w:sz w:val="22"/>
          <w:szCs w:val="22"/>
        </w:rPr>
        <w:t xml:space="preserve">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outside from an error in the method.</w:t>
      </w:r>
    </w:p>
    <w:p>
      <w:pPr>
        <w:pStyle w:val="Heading2"/>
        <w:spacing w:after="180" w:before="320"/>
      </w:pPr>
      <w:r>
        <w:rPr>
          <w:rFonts w:ascii="Calibri" w:cs="Calibri" w:eastAsia="Calibri" w:hAnsi="Calibri"/>
          <w:b/>
          <w:bCs/>
          <w:color w:val="111111"/>
          <w:sz w:val="26"/>
          <w:szCs w:val="26"/>
        </w:rPr>
        <w:t xml:space="preserve">3.9  Threats to Validity and Mitigation</w:t>
      </w:r>
    </w:p>
    <w:p>
      <w:pPr>
        <w:spacing w:after="160" w:line="320"/>
        <w:jc w:val="both"/>
      </w:pPr>
      <w:r>
        <w:rPr>
          <w:rFonts w:ascii="Calibri" w:cs="Calibri" w:eastAsia="Calibri" w:hAnsi="Calibri"/>
          <w:color w:val="111111"/>
          <w:sz w:val="22"/>
          <w:szCs w:val="22"/>
        </w:rPr>
        <w:t xml:space="preserve">A design is only as credible as its account of what could undermine it. Table 3.7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 xml:space="preserve">Table 3.7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 single market and frequency</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Declared in advance; depth preferred to breadth</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Generalisation untested; Chapter 5 returns to it</w:t>
            </w:r>
          </w:p>
        </w:tc>
      </w:tr>
    </w:tbl>
    <w:p>
      <w:pPr>
        <w:spacing w:after="240" w:before="60"/>
      </w:pPr>
      <w:r>
        <w:rPr>
          <w:rFonts w:ascii="Calibri" w:cs="Calibri" w:eastAsia="Calibri" w:hAnsi="Calibri"/>
          <w:i/>
          <w:iCs/>
          <w:color w:val="444444"/>
          <w:sz w:val="18"/>
          <w:szCs w:val="18"/>
        </w:rPr>
        <w:t xml:space="preserve">Table 3.7. Threats to validity, mitigation, and residual risk.</w:t>
      </w:r>
    </w:p>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