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5766" w14:textId="77777777" w:rsidR="00FC20F0" w:rsidRDefault="00FC20F0" w:rsidP="00FC20F0">
      <w:pPr>
        <w:pStyle w:val="Heading1"/>
        <w:spacing w:line="360" w:lineRule="auto"/>
      </w:pPr>
      <w:r>
        <w:t>Chapter 1: Introduction</w:t>
      </w:r>
    </w:p>
    <w:p w14:paraId="63C5BD98" w14:textId="77777777" w:rsidR="00FC20F0" w:rsidRDefault="00FC20F0" w:rsidP="00FC20F0">
      <w:pPr>
        <w:pStyle w:val="Heading2"/>
        <w:spacing w:line="360" w:lineRule="auto"/>
      </w:pPr>
      <w:r>
        <w:t>1.1 Context and Motivation</w:t>
      </w:r>
    </w:p>
    <w:p w14:paraId="34074C62" w14:textId="77777777" w:rsidR="00FC20F0" w:rsidRDefault="00FC20F0" w:rsidP="00FC20F0">
      <w:pPr>
        <w:spacing w:after="200" w:line="360" w:lineRule="auto"/>
        <w:jc w:val="both"/>
      </w:pPr>
      <w:r>
        <w:t>Financial markets are defined less by the steady drift of prices than by the irregular intensity with which those prices fluctuate. The collapse of Lehman Brothers in September 2008 wiped trillions of dollars from global equity markets within weeks (Brunnermeier, 2009), and in March 2020 the COVID-19 pandemic drove the CBOE Volatility Index (VIX) to a closing peak of 82.69, surpassing levels last observed during the global financial crisis (Baker et al., 2020). Such episodes are not statistical anomalies but manifestations of well-documented stylised facts, where volatility is persistent, clustered, leptokurtic, and asymmetric in its response to negative shocks (Mandelbrot, 1963; Cont, 2001). These properties have made the modelling and forecasting of conditional volatility one of the most heavily studied problems in financial econometrics, since accurate forecasts directly inform the pricing of derivatives, the calibration of value-at-risk models, and the regulatory capital that banks must hold against trading exposures (Poon and Granger, 2003).</w:t>
      </w:r>
    </w:p>
    <w:p w14:paraId="170A0F1D" w14:textId="77777777" w:rsidR="00FC20F0" w:rsidRDefault="00FC20F0" w:rsidP="00FC20F0">
      <w:pPr>
        <w:pStyle w:val="Heading2"/>
        <w:spacing w:line="360" w:lineRule="auto"/>
      </w:pPr>
      <w:r>
        <w:t>1.2 The Practical Stakes</w:t>
      </w:r>
    </w:p>
    <w:p w14:paraId="77F29842" w14:textId="77777777" w:rsidR="00FC20F0" w:rsidRDefault="00FC20F0" w:rsidP="00FC20F0">
      <w:pPr>
        <w:spacing w:after="200" w:line="360" w:lineRule="auto"/>
        <w:jc w:val="both"/>
      </w:pPr>
      <w:r>
        <w:t>The practical and societal significance of volatility forecasting is therefore substantial. Risk managers depend on volatility estimates to size positions, allocate capital, and stress-test portfolios, derivatives traders rely on them to price contingent claims, and regulators use them to assess systemic stability under the Basel framework. Errors in these estimates are not academic, underestimating volatility during a regime shift can leave institutions undercapitalised and contribute to the procyclical deleveraging that has historically amplified crises (Brunnermeier and Pedersen, 2009). The increasing availability of high-frequency data has supported a shift toward realised volatility measures constructed from intraday returns, which provide model-free estimates of latent return variation (Andersen et al., 2003), and there has been a corresponding push to move beyond traditional point forecasts toward models that quantify the uncertainty around their predictions and remain robust when market dynamics change abruptly.</w:t>
      </w:r>
    </w:p>
    <w:p w14:paraId="30C81C2E" w14:textId="77777777" w:rsidR="00FC20F0" w:rsidRDefault="00FC20F0" w:rsidP="00FC20F0">
      <w:pPr>
        <w:pStyle w:val="Heading2"/>
        <w:spacing w:line="360" w:lineRule="auto"/>
      </w:pPr>
      <w:r>
        <w:t>1.3 Limitations of Existing Approaches</w:t>
      </w:r>
    </w:p>
    <w:p w14:paraId="07EDE276" w14:textId="77777777" w:rsidR="00FC20F0" w:rsidRDefault="00FC20F0" w:rsidP="00FC20F0">
      <w:pPr>
        <w:spacing w:after="200" w:line="360" w:lineRule="auto"/>
        <w:jc w:val="both"/>
      </w:pPr>
      <w:r>
        <w:lastRenderedPageBreak/>
        <w:t>The dominant econometric framework for conditional volatility, originating with the Autoregressive Conditional Heteroskedasticity (ARCH) model of Engle (1982) and its generalised variant (GARCH) introduced by Bollerslev (1986), has been remarkably durable because of its parsimony, interpretability, and theoretical grounding. However, GARCH-family models impose a fixed parametric structure on the conditional variance equation and assume that the data-generating process is broadly stable over the estimation window. Empirically, financial markets violate this assumption, where they shift between distinct regimes characterised by different mean returns, volatility levels, and correlation structures (Hamilton, 1989), and a single GARCH specification calibrated across regimes tends to deteriorate precisely when forecasts matter most, during transitions and crises (Poon and Granger, 2003).</w:t>
      </w:r>
    </w:p>
    <w:p w14:paraId="4C1582DC" w14:textId="77777777" w:rsidR="00FC20F0" w:rsidRDefault="00FC20F0" w:rsidP="00FC20F0">
      <w:pPr>
        <w:spacing w:after="200" w:line="360" w:lineRule="auto"/>
        <w:jc w:val="both"/>
      </w:pPr>
      <w:r>
        <w:t>Deep learning offers a complementary route. Recurrent architectures, and in particular Long Short-Term Memory (LSTM) networks (Hochreiter and Schmidhuber, 1997), can capture non-linear, long-range temporal dependencies without imposing an explicit parametric form on the variance process. Hybrid and pure deep learning approaches have been shown to outperform GARCH baselines on equity volatility prediction in several recent studies (Kim and Won, 2018; Bucci, 2020). Yet two limitations persist. First, standard LSTM training treats the entire time series as homogeneous, so the model receives no explicit signal that, for example, March 2020 differs structurally from June 2017. Second, the networks output point predictions, providing no calibrated measure of how confident the forecast is, an omission that is particularly damaging for downstream risk applications, where decision-making depends on the full predictive distribution rather than its mean (Gal and Ghahramani, 2016).</w:t>
      </w:r>
    </w:p>
    <w:p w14:paraId="704A2263" w14:textId="77777777" w:rsidR="00FC20F0" w:rsidRDefault="00FC20F0" w:rsidP="00FC20F0">
      <w:pPr>
        <w:pStyle w:val="Heading2"/>
        <w:spacing w:line="360" w:lineRule="auto"/>
      </w:pPr>
      <w:r>
        <w:t>1.4 Research Gap</w:t>
      </w:r>
    </w:p>
    <w:p w14:paraId="67162274" w14:textId="77777777" w:rsidR="00FC20F0" w:rsidRDefault="00FC20F0" w:rsidP="00FC20F0">
      <w:pPr>
        <w:spacing w:after="200" w:line="360" w:lineRule="auto"/>
        <w:jc w:val="both"/>
      </w:pPr>
      <w:r>
        <w:t>Although regime-switching econometrics, deep learning for volatility, and Bayesian deep learning have each developed substantial literatures, comparatively little work has integrated all three into a single, empirically validated forecasting pipeline for daily realised volatility, with rigorous benchmarking against both econometric and deep-learning baselines. This dissertation addresses that gap.</w:t>
      </w:r>
    </w:p>
    <w:p w14:paraId="5734AAF5" w14:textId="77777777" w:rsidR="00FC20F0" w:rsidRDefault="00FC20F0" w:rsidP="00FC20F0">
      <w:pPr>
        <w:pStyle w:val="Heading2"/>
        <w:spacing w:line="360" w:lineRule="auto"/>
      </w:pPr>
      <w:r>
        <w:t>1.5 Aim and Objectives</w:t>
      </w:r>
    </w:p>
    <w:p w14:paraId="1A8F6BA6" w14:textId="77777777" w:rsidR="00FC20F0" w:rsidRDefault="00FC20F0" w:rsidP="00FC20F0">
      <w:pPr>
        <w:spacing w:after="200" w:line="360" w:lineRule="auto"/>
        <w:jc w:val="both"/>
      </w:pPr>
      <w:r>
        <w:t xml:space="preserve">The aim of this research is to investigate whether regime-aware deep learning models endowed with uncertainty quantification can deliver more accurate and more reliable forecasts of </w:t>
      </w:r>
      <w:r>
        <w:lastRenderedPageBreak/>
        <w:t xml:space="preserve">realised equity-index volatility than either classical econometric models or standard deep learning baselines. To pursue this aim, four objectives are pursued: (i) to implement and benchmark econometric baselines on daily realised volatility constructed from intraday returns, namely GARCH(1,1) and EGARCH from the conditional-variance tradition together with the heterogeneous autoregressive model of realised volatility, HAR-RV (Corsi, 2009), which is the de facto benchmark on realised-volatility targets and therefore the baseline any deep alternative must clear, (ii) </w:t>
      </w:r>
      <w:r w:rsidRPr="00E303CD">
        <w:t xml:space="preserve">To develop an LSTM baseline over the same forecast horizon and evaluation splits, using an input set comparable to the econometric baselines, namely realised-volatility history as used by HAR-RV together with the daily return used by the GARCH family. To isolate the contribution of the deep architecture from that of the richer input set, the study also benchmarks </w:t>
      </w:r>
      <w:r w:rsidRPr="00223FA7">
        <w:t>a realised-volatility-only LSTM restricted to the same information set as HAR-RV, namely realised-volatility history alone, supplied as raw daily lags rather than as Corsi's daily, weekly and monthly aggregates; the input window and the resulting difference in history reach are specified in Chapter 3. A further ablation adds the CBOE VIX as an auxiliary input</w:t>
      </w:r>
      <w:r>
        <w:t>,</w:t>
      </w:r>
      <w:r w:rsidRPr="00223FA7">
        <w:t xml:space="preserve"> because it draws on option-implied information that no other model in the comparison can access, it is reported separately rather than entered into the like-for-like benchmark</w:t>
      </w:r>
      <w:r>
        <w:t xml:space="preserve">, (iii) </w:t>
      </w:r>
      <w:r w:rsidRPr="009437F3">
        <w:t>to identify latent market regimes using probabilistic state-space methods, principally a Gaussian-emission Hidden Markov Model estimated with the jump penalty of Nystrup, Lindström and Madsen (2020), which suppresses the excessive state switching that would otherwise contaminate any forecast conditioned on it, and to condition the deep model</w:t>
      </w:r>
      <w:r>
        <w:t xml:space="preserve"> on the inferred state through two complementary architectures, a regime-as-feature model and a regime-specific mixture-of-experts, and (iv) to integrate uncertainty quantification through Monte Carlo Dropout and quantile regression, evaluating both the sharpness and the calibration of the resulting predictive intervals.</w:t>
      </w:r>
    </w:p>
    <w:p w14:paraId="0B216F56" w14:textId="77777777" w:rsidR="00FC20F0" w:rsidRDefault="00FC20F0" w:rsidP="00FC20F0">
      <w:pPr>
        <w:pStyle w:val="Heading2"/>
        <w:spacing w:line="360" w:lineRule="auto"/>
      </w:pPr>
      <w:r>
        <w:t>1.6 Research Questions</w:t>
      </w:r>
    </w:p>
    <w:p w14:paraId="1CB8FA48" w14:textId="77777777" w:rsidR="00FC20F0" w:rsidRDefault="00FC20F0" w:rsidP="00FC20F0">
      <w:pPr>
        <w:spacing w:after="200" w:line="360" w:lineRule="auto"/>
        <w:jc w:val="both"/>
      </w:pPr>
      <w:r>
        <w:t xml:space="preserve">The dissertation is organised around four explicit, empirically testable research questions, the first three primary and the fourth a pre-registered secondary question. </w:t>
      </w:r>
      <w:r>
        <w:rPr>
          <w:b/>
          <w:bCs/>
        </w:rPr>
        <w:t>RQ1:</w:t>
      </w:r>
      <w:r>
        <w:t xml:space="preserve"> Do LSTM-based deep learning models produce lower out-of-sample forecast error than the econometric baselines GARCH(1,1), EGARCH and HAR-RV for daily realised volatility on a major equity index, the S&amp;P 500? </w:t>
      </w:r>
      <w:r>
        <w:rPr>
          <w:b/>
          <w:bCs/>
        </w:rPr>
        <w:t>RQ2:</w:t>
      </w:r>
      <w:r>
        <w:t xml:space="preserve"> Does explicit conditioning on latent market regimes improve forecast accuracy, and if so, is the improvement concentrated in transitional or crisis periods rather than spread evenly across the sample? </w:t>
      </w:r>
      <w:r>
        <w:rPr>
          <w:b/>
          <w:bCs/>
        </w:rPr>
        <w:t>RQ3:</w:t>
      </w:r>
      <w:r>
        <w:t xml:space="preserve"> Do uncertainty-aware deep learning models yield prediction intervals whose empirical coverage matches their nominal level, and whose width adapts informatively to regime?</w:t>
      </w:r>
      <w:r>
        <w:rPr>
          <w:b/>
          <w:bCs/>
        </w:rPr>
        <w:t xml:space="preserve"> RQ4 (secondary):</w:t>
      </w:r>
      <w:r>
        <w:t xml:space="preserve"> Do the answers to RQ1-RQ3 carry over to other equity indices, or are they specific to the S&amp;P 500? This question is pre-registered as secondary and is answered on a deliberately reduced design: the econometric baselines and the best-performing deep model only, on the Russell 2000 and the FTSE 100, whose realised variance is constructed identically to the S&amp;P 500 target.</w:t>
      </w:r>
    </w:p>
    <w:p w14:paraId="7F664CEE" w14:textId="77777777" w:rsidR="00FC20F0" w:rsidRDefault="00FC20F0" w:rsidP="00FC20F0">
      <w:pPr>
        <w:pStyle w:val="Heading2"/>
        <w:spacing w:line="360" w:lineRule="auto"/>
      </w:pPr>
      <w:r>
        <w:t>1.7 Methodological Overview</w:t>
      </w:r>
    </w:p>
    <w:p w14:paraId="12A2502F" w14:textId="77777777" w:rsidR="00FC20F0" w:rsidRDefault="00FC20F0" w:rsidP="00FC20F0">
      <w:pPr>
        <w:spacing w:after="200" w:line="360" w:lineRule="auto"/>
        <w:jc w:val="both"/>
      </w:pPr>
      <w:r>
        <w:t>Methodologically, the project combines econometric, deep learning, and probabilistic components within a unified comparative-evaluation design. Realised volatility is measured as daily realised variance built from five-minute intraday returns (Andersen et al., 2003), sourced from the Oxford-Man Realized Library, econometric and deep-learning models are evaluated under a strict time-ordered split with anchored walk-forward out-of-sample prediction to prevent look-ahead bias, the econometric baselines being re-estimated on the expanding window at a monthly cadence while the deep models are estimated once on the pre-test sample and held fixed across the evaluation window, an asymmetry that is leakage-free but conservative towards the networks and is examined in Chapter 3, regimes are inferred from observable market signals using a jump-penalised Gaussian-emission HMM whose parameters and posterior are estimated on training data only, and uncertainty is estimated using stochastic forward passes (MC Dropout) and quantile-based loss functions. Models are compared on three point-forecast metrics which are MSE, MAE and QLIKE, with QLIKE adopted as the primary criterion for its robustness to an imperfect volatility proxy (Patton, 2011) and MSE as the secondary one because it belongs to the same proxy-robust class, while MAE lies outside that class and is therefore reported as a descriptive third measure rather than used to rank models, and for uncertainty-aware variants, on coverage, sharpness and the proper scoring rules of Gneiting and Raftery (2007), namely the interval (Winkler) score and the continuous ranked probability score. Statistical significance is assessed with the Diebold-Mariano test for pairwise differences, the Giacomini-White test of conditional predictive ability where the question is whether one model is better in identifiable market states rather than on average (Giacomini and White, 2006), and the Model Confidence Set to control the family-wise error rate across the full set of competing models (Hansen, Lunde and Nason, 2011).</w:t>
      </w:r>
    </w:p>
    <w:p w14:paraId="77EAC927" w14:textId="77777777" w:rsidR="00FC20F0" w:rsidRDefault="00FC20F0" w:rsidP="00FC20F0">
      <w:pPr>
        <w:spacing w:after="200" w:line="360" w:lineRule="auto"/>
        <w:jc w:val="both"/>
      </w:pPr>
    </w:p>
    <w:p w14:paraId="0533D236" w14:textId="77777777" w:rsidR="00FC20F0" w:rsidRDefault="00FC20F0" w:rsidP="00FC20F0">
      <w:pPr>
        <w:pStyle w:val="Heading2"/>
        <w:spacing w:line="360" w:lineRule="auto"/>
      </w:pPr>
      <w:r>
        <w:t>1.8 Data</w:t>
      </w:r>
    </w:p>
    <w:p w14:paraId="30140A9B" w14:textId="77777777" w:rsidR="00FC20F0" w:rsidRDefault="00FC20F0" w:rsidP="00FC20F0">
      <w:pPr>
        <w:spacing w:after="200" w:line="360" w:lineRule="auto"/>
        <w:jc w:val="both"/>
      </w:pPr>
      <w:r>
        <w:t xml:space="preserve">The empirical analysis draws on two complementary data sources. The forecasting target is the daily realised variance of the S&amp;P 500, constructed from five-minute intraday returns in the sense of Andersen et al. (2003) and obtained from the Oxford-Man Realized Library (Heber et al., 2009). The series runs from 2000 to February 2022, when the library was discontinued, and this defines the sample period. Daily market data for the S&amp;P 500 (^GSPC) and the CBOE Volatility Index (^VIX) are taken from Yahoo Finance via the yfinance interface, together with the corresponding daily series for the two robustness indices used in the generalisation check of RQ4, the Russell 2000 (^RUT) and the FTSE 100 (^FTSE), these supply the daily returns used by the GARCH-family baselines, the VIX as an auxiliary feature, </w:t>
      </w:r>
      <w:r w:rsidRPr="009437F3">
        <w:t>and the Yang-Zhang OHLC estimator, which is retained not as a competing forecasting target but as a target-validity diagnostic: its rolling-window construction imposes a degree of smoothing that the intraday measure does not, and demonstrating this is what justifies the choice of a genuine intraday realised-variance target</w:t>
      </w:r>
      <w:r>
        <w:t>. Together the series span multiple distinct market regimes, including the 2008 global financial crisis, the 2018 volatility shock, and the COVID-19 pandemic, and provide a transparent, fully reproducible foundation for the experiments that follow.</w:t>
      </w:r>
    </w:p>
    <w:p w14:paraId="0BE79D80" w14:textId="77777777" w:rsidR="00FC20F0" w:rsidRDefault="00FC20F0" w:rsidP="00FC20F0">
      <w:pPr>
        <w:pStyle w:val="Heading2"/>
        <w:spacing w:line="360" w:lineRule="auto"/>
      </w:pPr>
      <w:r>
        <w:lastRenderedPageBreak/>
        <w:t>1.9 Structure of the Dissertation</w:t>
      </w:r>
    </w:p>
    <w:p w14:paraId="4F91EC06" w14:textId="77777777" w:rsidR="00FC20F0" w:rsidRDefault="00FC20F0" w:rsidP="00FC20F0">
      <w:pPr>
        <w:spacing w:after="200" w:line="360" w:lineRule="auto"/>
        <w:jc w:val="both"/>
      </w:pPr>
      <w:r>
        <w:t>The remainder of the dissertation is organised as follows. Chapter 2 presents a critical review of the literature on volatility modelling, recurrent deep learning for financial time series, regime-switching models, and uncertainty quantification, and identifies the specific gap this work addresses. Chapter 3 details the methodology, including data construction, model architectures, training protocols, and evaluation design. Chapter 4 reports the experimental results, comparing baselines, regime-aware models, and uncertainty-aware variants across multiple metrics and market conditions. Chapter 5 discusses the findings in relation to the research questions and prior literature, examines limitations, and considers the practical and ethical implications for risk management. Chapter 6 concludes by revisiting the contributions and proposing directions for future research.</w:t>
      </w:r>
    </w:p>
    <w:p w14:paraId="2C1888AF" w14:textId="77777777" w:rsidR="00FC20F0" w:rsidRDefault="00FC20F0" w:rsidP="00FC20F0">
      <w:pPr>
        <w:pStyle w:val="Heading1"/>
        <w:spacing w:line="360" w:lineRule="auto"/>
      </w:pPr>
      <w:r>
        <w:t>References</w:t>
      </w:r>
    </w:p>
    <w:p w14:paraId="444067A2" w14:textId="77777777" w:rsidR="00FC20F0" w:rsidRDefault="00FC20F0" w:rsidP="00FC20F0">
      <w:pPr>
        <w:spacing w:after="140" w:line="360" w:lineRule="auto"/>
        <w:ind w:left="720" w:hanging="720"/>
      </w:pPr>
      <w:r>
        <w:t>Andersen, T.G., Bollerslev, T., Diebold, F.X. and Labys, P., 2003. Modeling and forecasting realized volatility. Econometrica, 71(2), pp.579–625. https://doi.org/10.1111/1468-0262.00418</w:t>
      </w:r>
    </w:p>
    <w:p w14:paraId="75D48552" w14:textId="77777777" w:rsidR="00FC20F0" w:rsidRDefault="00FC20F0" w:rsidP="00FC20F0">
      <w:pPr>
        <w:spacing w:after="140" w:line="360" w:lineRule="auto"/>
        <w:ind w:left="720" w:hanging="720"/>
      </w:pPr>
      <w:r>
        <w:t>Baker, S.R., Bloom, N., Davis, S.J. and Terry, S.J., 2020. COVID-induced economic uncertainty. NBER Working Paper No. 26983. National Bureau of Economic Research. https://doi.org/10.3386/w26983</w:t>
      </w:r>
    </w:p>
    <w:p w14:paraId="750B81F6" w14:textId="77777777" w:rsidR="00FC20F0" w:rsidRDefault="00FC20F0" w:rsidP="00FC20F0">
      <w:pPr>
        <w:spacing w:after="140" w:line="360" w:lineRule="auto"/>
        <w:ind w:left="720" w:hanging="720"/>
      </w:pPr>
      <w:r>
        <w:t>Bollerslev, T., 1986. Generalized autoregressive conditional heteroskedasticity. Journal of Econometrics, 31(3), pp.307–327. https://doi.org/10.1016/0304-4076(86)90063-1</w:t>
      </w:r>
    </w:p>
    <w:p w14:paraId="5585BF37" w14:textId="77777777" w:rsidR="00FC20F0" w:rsidRDefault="00FC20F0" w:rsidP="00FC20F0">
      <w:pPr>
        <w:spacing w:after="140" w:line="360" w:lineRule="auto"/>
        <w:ind w:left="720" w:hanging="720"/>
      </w:pPr>
      <w:r>
        <w:t>Brunnermeier, M.K., 2009. Deciphering the liquidity and credit crunch 2007–2008. Journal of Economic Perspectives, 23(1), pp.77–100. https://doi.org/10.1257/jep.23.1.77</w:t>
      </w:r>
    </w:p>
    <w:p w14:paraId="07057CC5" w14:textId="77777777" w:rsidR="00FC20F0" w:rsidRDefault="00FC20F0" w:rsidP="00FC20F0">
      <w:pPr>
        <w:spacing w:after="140" w:line="360" w:lineRule="auto"/>
        <w:ind w:left="720" w:hanging="720"/>
      </w:pPr>
      <w:r>
        <w:t>Brunnermeier, M.K. and Pedersen, L.H., 2009. Market liquidity and funding liquidity. Review of Financial Studies, 22(6), pp.2201–2238. https://doi.org/10.1093/rfs/hhn098</w:t>
      </w:r>
    </w:p>
    <w:p w14:paraId="78905898" w14:textId="77777777" w:rsidR="00FC20F0" w:rsidRDefault="00FC20F0" w:rsidP="00FC20F0">
      <w:pPr>
        <w:spacing w:after="140" w:line="360" w:lineRule="auto"/>
        <w:ind w:left="720" w:hanging="720"/>
      </w:pPr>
      <w:r>
        <w:t>Bucci, A., 2020. Realized volatility forecasting with neural networks. Journal of Financial Econometrics, 18(3), pp.502–531. https://doi.org/10.1093/jjfinec/nbaa008</w:t>
      </w:r>
    </w:p>
    <w:p w14:paraId="54A3C6EA" w14:textId="77777777" w:rsidR="00FC20F0" w:rsidRDefault="00FC20F0" w:rsidP="00FC20F0">
      <w:pPr>
        <w:spacing w:after="140" w:line="360" w:lineRule="auto"/>
        <w:ind w:left="720" w:hanging="720"/>
      </w:pPr>
      <w:r>
        <w:t xml:space="preserve">Cont, R., 2001. Empirical properties of asset returns: stylized facts and statistical issues. Quantitative Finance, 1(2), pp.223–236. </w:t>
      </w:r>
      <w:hyperlink r:id="rId7" w:history="1">
        <w:r w:rsidRPr="00DE747B">
          <w:rPr>
            <w:rStyle w:val="Hyperlink"/>
          </w:rPr>
          <w:t>https://doi.org/10.1080/713665670</w:t>
        </w:r>
      </w:hyperlink>
    </w:p>
    <w:p w14:paraId="2A12D70D" w14:textId="77777777" w:rsidR="00FC20F0" w:rsidRDefault="00FC20F0" w:rsidP="00FC20F0">
      <w:pPr>
        <w:spacing w:after="140" w:line="360" w:lineRule="auto"/>
        <w:ind w:left="720" w:hanging="720"/>
      </w:pPr>
      <w:r w:rsidRPr="009844F9">
        <w:lastRenderedPageBreak/>
        <w:t>Corsi, F., 2009. A simple approximate long-memory model of realized volatility. Journal of Financial Econometrics, 7(2), pp.174–196. https://doi.org/10.1093/jjfinec/nbp001</w:t>
      </w:r>
    </w:p>
    <w:p w14:paraId="2FD0D19C" w14:textId="77777777" w:rsidR="00FC20F0" w:rsidRDefault="00FC20F0" w:rsidP="00FC20F0">
      <w:pPr>
        <w:spacing w:after="140" w:line="360" w:lineRule="auto"/>
        <w:ind w:left="720" w:hanging="720"/>
      </w:pPr>
      <w:r>
        <w:t>Engle, R.F., 1982. Autoregressive conditional heteroscedasticity with estimates of the variance of United Kingdom inflation. Econometrica, 50(4), pp.987–1007. https://doi.org/10.2307/1912773</w:t>
      </w:r>
    </w:p>
    <w:p w14:paraId="790616E0" w14:textId="77777777" w:rsidR="00FC20F0" w:rsidRDefault="00FC20F0" w:rsidP="00FC20F0">
      <w:pPr>
        <w:spacing w:after="140" w:line="360" w:lineRule="auto"/>
        <w:ind w:left="720" w:hanging="720"/>
      </w:pPr>
      <w:r>
        <w:t>Gal, Y. and Ghahramani, Z., 2016. Dropout as a Bayesian approximation: representing model uncertainty in deep learning. In: Proceedings of the 33rd International Conference on Machine Learning (ICML), New York, USA, 19–24 June 2016. PMLR 48, pp.1050–1059.</w:t>
      </w:r>
    </w:p>
    <w:p w14:paraId="79A87AF8" w14:textId="77777777" w:rsidR="00FC20F0" w:rsidRDefault="00FC20F0" w:rsidP="00FC20F0">
      <w:pPr>
        <w:spacing w:after="140" w:line="360" w:lineRule="auto"/>
        <w:ind w:left="720" w:hanging="720"/>
      </w:pPr>
      <w:r w:rsidRPr="002C785A">
        <w:t>Giacomini, R. and White, H., 2006. Tests of conditional predictive ability. Econometrica, 74(6), pp.1545–1578. https://doi.org/10.1111/j.1468-0262.2006.00718.x</w:t>
      </w:r>
    </w:p>
    <w:p w14:paraId="79A87AF8" w14:textId="77777777" w:rsidR="00FC20F0" w:rsidRDefault="00FC20F0" w:rsidP="00FC20F0">
      <w:pPr>
        <w:spacing w:after="140" w:line="360" w:lineRule="auto"/>
        <w:ind w:left="720" w:hanging="720"/>
      </w:pPr>
      <w:r w:rsidRPr="002C785A">
        <w:t>Gneiting, T. and Raftery, A.E., 2007. Strictly proper scoring rules, prediction, and estimation. Journal of the American Statistical Association, 102(477), pp.359–378. https://doi.org/10.1198/016214506000001437</w:t>
      </w:r>
    </w:p>
    <w:p w14:paraId="4F827600" w14:textId="77777777" w:rsidR="00FC20F0" w:rsidRDefault="00FC20F0" w:rsidP="00FC20F0">
      <w:pPr>
        <w:spacing w:after="140" w:line="360" w:lineRule="auto"/>
        <w:ind w:left="720" w:hanging="720"/>
      </w:pPr>
      <w:r>
        <w:t xml:space="preserve">Hamilton, J.D., 1989. A new approach to the economic analysis of nonstationary time series and the business cycle. Econometrica, 57(2), pp.357–384. </w:t>
      </w:r>
      <w:hyperlink r:id="rId8" w:history="1">
        <w:r w:rsidRPr="00CC4194">
          <w:rPr>
            <w:rStyle w:val="Hyperlink"/>
          </w:rPr>
          <w:t>https://doi.org/10.2307/1912559</w:t>
        </w:r>
      </w:hyperlink>
    </w:p>
    <w:p w14:paraId="5AF5CC38" w14:textId="77777777" w:rsidR="00FC20F0" w:rsidRDefault="00FC20F0" w:rsidP="00FC20F0">
      <w:pPr>
        <w:spacing w:after="140" w:line="360" w:lineRule="auto"/>
        <w:ind w:left="720" w:hanging="720"/>
      </w:pPr>
      <w:r w:rsidRPr="00B74E97">
        <w:t>Hansen, P.R., Lunde, A. and Nason, J.M., 2011. The model confidence set. Econometrica, 79(2), pp.453–497. https://doi.org/10.3982/ECTA5771</w:t>
      </w:r>
    </w:p>
    <w:p w14:paraId="22A8619A" w14:textId="77777777" w:rsidR="00FC20F0" w:rsidRDefault="00FC20F0" w:rsidP="00FC20F0">
      <w:pPr>
        <w:spacing w:after="140" w:line="360" w:lineRule="auto"/>
        <w:ind w:left="720" w:hanging="720"/>
      </w:pPr>
      <w:r>
        <w:t>Heber, G., Lunde, A., Shephard, N. and Sheppard, K., 2009. Oxford-Man Institute’s realized library. Oxford-Man Institute, University of Oxford.</w:t>
      </w:r>
    </w:p>
    <w:p w14:paraId="30B521F2" w14:textId="77777777" w:rsidR="00FC20F0" w:rsidRDefault="00FC20F0" w:rsidP="00FC20F0">
      <w:pPr>
        <w:spacing w:after="140" w:line="360" w:lineRule="auto"/>
        <w:ind w:left="720" w:hanging="720"/>
      </w:pPr>
      <w:r w:rsidRPr="00B411B3">
        <w:t xml:space="preserve">Hochreiter, S. and Schmidhuber, J., 1997. </w:t>
      </w:r>
      <w:r>
        <w:t>Long short-term memory. Neural Computation, 9(8), pp.1735–1780. https://doi.org/10.1162/neco.1997.9.8.1735</w:t>
      </w:r>
    </w:p>
    <w:p w14:paraId="2FE401F4" w14:textId="77777777" w:rsidR="00FC20F0" w:rsidRDefault="00FC20F0" w:rsidP="00FC20F0">
      <w:pPr>
        <w:spacing w:after="140" w:line="360" w:lineRule="auto"/>
        <w:ind w:left="720" w:hanging="720"/>
      </w:pPr>
      <w:r>
        <w:t>Kim, H.Y. and Won, C.H., 2018. Forecasting the volatility of stock price index: a hybrid model integrating LSTM with multiple GARCH-type models. Expert Systems with Applications, 103, pp.25–37. https://doi.org/10.1016/j.eswa.2018.03.002</w:t>
      </w:r>
    </w:p>
    <w:p w14:paraId="592BBA97" w14:textId="77777777" w:rsidR="00FC20F0" w:rsidRDefault="00FC20F0" w:rsidP="00FC20F0">
      <w:pPr>
        <w:spacing w:after="140" w:line="360" w:lineRule="auto"/>
        <w:ind w:left="720" w:hanging="720"/>
      </w:pPr>
      <w:r>
        <w:t xml:space="preserve">Mandelbrot, B., 1963. The variation of certain speculative prices. The Journal of Business, 36(4), pp.394–419. </w:t>
      </w:r>
      <w:hyperlink r:id="rId9" w:history="1">
        <w:r w:rsidRPr="00DE747B">
          <w:rPr>
            <w:rStyle w:val="Hyperlink"/>
          </w:rPr>
          <w:t>https://doi.org/10.1086/294632</w:t>
        </w:r>
      </w:hyperlink>
    </w:p>
    <w:p w14:paraId="7DA22199" w14:textId="77777777" w:rsidR="00FC20F0" w:rsidRDefault="00FC20F0" w:rsidP="00FC20F0">
      <w:pPr>
        <w:spacing w:after="140" w:line="360" w:lineRule="auto"/>
        <w:ind w:left="720" w:hanging="720"/>
      </w:pPr>
      <w:r w:rsidRPr="00953D9F">
        <w:t xml:space="preserve">Nystrup, P., Lindström, E. and Madsen, H., 2020. Learning hidden Markov models with persistent states by penalizing jumps. Expert Systems with Applications, 150, 113307. </w:t>
      </w:r>
      <w:hyperlink r:id="rId10" w:history="1">
        <w:r w:rsidRPr="00DE747B">
          <w:rPr>
            <w:rStyle w:val="Hyperlink"/>
          </w:rPr>
          <w:t>https://doi.org/10.1016/j.eswa.2020.113307</w:t>
        </w:r>
      </w:hyperlink>
    </w:p>
    <w:p w14:paraId="4FEFD641" w14:textId="77777777" w:rsidR="00FC20F0" w:rsidRDefault="00FC20F0" w:rsidP="00FC20F0">
      <w:pPr>
        <w:spacing w:after="140" w:line="360" w:lineRule="auto"/>
        <w:ind w:left="720" w:hanging="720"/>
      </w:pPr>
      <w:r w:rsidRPr="00953D9F">
        <w:t>Patton, A.J., 2011. Volatility forecast comparison using imperfect volatility proxies. Journal of Econometrics, 160(1), pp.246–256. https://doi.org/10.1016/j.jeconom.2010.03.034</w:t>
      </w:r>
    </w:p>
    <w:p w14:paraId="3EFB5634" w14:textId="77777777" w:rsidR="00FC20F0" w:rsidRDefault="00FC20F0" w:rsidP="00FC20F0">
      <w:pPr>
        <w:spacing w:after="140" w:line="360" w:lineRule="auto"/>
        <w:ind w:left="720" w:hanging="720"/>
      </w:pPr>
      <w:r>
        <w:lastRenderedPageBreak/>
        <w:t xml:space="preserve">Poon, S.-H. and Granger, C.W.J., 2003. Forecasting volatility in financial markets: a review. Journal of Economic Literature, 41(2), pp.478–539. </w:t>
      </w:r>
      <w:hyperlink r:id="rId11" w:history="1">
        <w:r w:rsidRPr="001B6ACE">
          <w:rPr>
            <w:rStyle w:val="Hyperlink"/>
          </w:rPr>
          <w:t>https://doi.org/10.1257/.41.2.478</w:t>
        </w:r>
      </w:hyperlink>
    </w:p>
    <w:p w14:paraId="392CC0A5" w14:textId="7FC47DF0" w:rsidR="00B56A91" w:rsidRPr="00FC20F0" w:rsidRDefault="00B56A91" w:rsidP="00FC20F0"/>
    <w:sectPr w:rsidR="00B56A91" w:rsidRPr="00FC20F0">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F9B0D" w14:textId="77777777" w:rsidR="00D14C69" w:rsidRDefault="00D14C69">
      <w:r>
        <w:separator/>
      </w:r>
    </w:p>
  </w:endnote>
  <w:endnote w:type="continuationSeparator" w:id="0">
    <w:p w14:paraId="107B48B4" w14:textId="77777777" w:rsidR="00D14C69" w:rsidRDefault="00D14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03B5" w14:textId="77777777" w:rsidR="00B56A9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4700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DE7A1" w14:textId="77777777" w:rsidR="00D14C69" w:rsidRDefault="00D14C69">
      <w:r>
        <w:separator/>
      </w:r>
    </w:p>
  </w:footnote>
  <w:footnote w:type="continuationSeparator" w:id="0">
    <w:p w14:paraId="17B554BD" w14:textId="77777777" w:rsidR="00D14C69" w:rsidRDefault="00D14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5146"/>
    <w:multiLevelType w:val="hybridMultilevel"/>
    <w:tmpl w:val="28887528"/>
    <w:lvl w:ilvl="0" w:tplc="E4DA126C">
      <w:start w:val="1"/>
      <w:numFmt w:val="bullet"/>
      <w:lvlText w:val="●"/>
      <w:lvlJc w:val="left"/>
      <w:pPr>
        <w:ind w:left="720" w:hanging="360"/>
      </w:pPr>
    </w:lvl>
    <w:lvl w:ilvl="1" w:tplc="3A4E2396">
      <w:start w:val="1"/>
      <w:numFmt w:val="bullet"/>
      <w:lvlText w:val="○"/>
      <w:lvlJc w:val="left"/>
      <w:pPr>
        <w:ind w:left="1440" w:hanging="360"/>
      </w:pPr>
    </w:lvl>
    <w:lvl w:ilvl="2" w:tplc="B3A078D8">
      <w:start w:val="1"/>
      <w:numFmt w:val="bullet"/>
      <w:lvlText w:val="■"/>
      <w:lvlJc w:val="left"/>
      <w:pPr>
        <w:ind w:left="2160" w:hanging="360"/>
      </w:pPr>
    </w:lvl>
    <w:lvl w:ilvl="3" w:tplc="52F4B64E">
      <w:start w:val="1"/>
      <w:numFmt w:val="bullet"/>
      <w:lvlText w:val="●"/>
      <w:lvlJc w:val="left"/>
      <w:pPr>
        <w:ind w:left="2880" w:hanging="360"/>
      </w:pPr>
    </w:lvl>
    <w:lvl w:ilvl="4" w:tplc="73E4596C">
      <w:start w:val="1"/>
      <w:numFmt w:val="bullet"/>
      <w:lvlText w:val="○"/>
      <w:lvlJc w:val="left"/>
      <w:pPr>
        <w:ind w:left="3600" w:hanging="360"/>
      </w:pPr>
    </w:lvl>
    <w:lvl w:ilvl="5" w:tplc="F00ED37E">
      <w:start w:val="1"/>
      <w:numFmt w:val="bullet"/>
      <w:lvlText w:val="■"/>
      <w:lvlJc w:val="left"/>
      <w:pPr>
        <w:ind w:left="4320" w:hanging="360"/>
      </w:pPr>
    </w:lvl>
    <w:lvl w:ilvl="6" w:tplc="46DA9940">
      <w:start w:val="1"/>
      <w:numFmt w:val="bullet"/>
      <w:lvlText w:val="●"/>
      <w:lvlJc w:val="left"/>
      <w:pPr>
        <w:ind w:left="5040" w:hanging="360"/>
      </w:pPr>
    </w:lvl>
    <w:lvl w:ilvl="7" w:tplc="D57A22A6">
      <w:start w:val="1"/>
      <w:numFmt w:val="bullet"/>
      <w:lvlText w:val="●"/>
      <w:lvlJc w:val="left"/>
      <w:pPr>
        <w:ind w:left="5760" w:hanging="360"/>
      </w:pPr>
    </w:lvl>
    <w:lvl w:ilvl="8" w:tplc="C3868F5A">
      <w:start w:val="1"/>
      <w:numFmt w:val="bullet"/>
      <w:lvlText w:val="●"/>
      <w:lvlJc w:val="left"/>
      <w:pPr>
        <w:ind w:left="6480" w:hanging="360"/>
      </w:pPr>
    </w:lvl>
  </w:abstractNum>
  <w:num w:numId="1" w16cid:durableId="632751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A91"/>
    <w:rsid w:val="003852DF"/>
    <w:rsid w:val="00447000"/>
    <w:rsid w:val="00494417"/>
    <w:rsid w:val="004F5B1B"/>
    <w:rsid w:val="00523079"/>
    <w:rsid w:val="005725DA"/>
    <w:rsid w:val="00624C33"/>
    <w:rsid w:val="007678FB"/>
    <w:rsid w:val="008F3ACA"/>
    <w:rsid w:val="00A6543D"/>
    <w:rsid w:val="00AE175F"/>
    <w:rsid w:val="00B56A91"/>
    <w:rsid w:val="00D14C69"/>
    <w:rsid w:val="00E51885"/>
    <w:rsid w:val="00E746CC"/>
    <w:rsid w:val="00FC20F0"/>
    <w:rsid w:val="00FF1A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9AA0"/>
  <w15:docId w15:val="{937F3DE2-D772-4C3C-94FA-7E32BDCAB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000000"/>
      <w:sz w:val="36"/>
      <w:szCs w:val="36"/>
    </w:rPr>
  </w:style>
  <w:style w:type="paragraph" w:styleId="Heading2">
    <w:name w:val="heading 2"/>
    <w:link w:val="Heading2Char"/>
    <w:uiPriority w:val="9"/>
    <w:unhideWhenUsed/>
    <w:qFormat/>
    <w:pPr>
      <w:spacing w:before="280" w:after="14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C20F0"/>
    <w:rPr>
      <w:b/>
      <w:bCs/>
      <w:color w:val="000000"/>
      <w:sz w:val="36"/>
      <w:szCs w:val="36"/>
    </w:rPr>
  </w:style>
  <w:style w:type="character" w:customStyle="1" w:styleId="Heading2Char">
    <w:name w:val="Heading 2 Char"/>
    <w:basedOn w:val="DefaultParagraphFont"/>
    <w:link w:val="Heading2"/>
    <w:uiPriority w:val="9"/>
    <w:rsid w:val="00FC20F0"/>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2307/191255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0/713665670"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257/.41.2.478" TargetMode="External"/><Relationship Id="rId5" Type="http://schemas.openxmlformats.org/officeDocument/2006/relationships/footnotes" Target="footnotes.xml"/><Relationship Id="rId10" Type="http://schemas.openxmlformats.org/officeDocument/2006/relationships/hyperlink" Target="https://doi.org/10.1016/j.eswa.2020.113307" TargetMode="External"/><Relationship Id="rId4" Type="http://schemas.openxmlformats.org/officeDocument/2006/relationships/webSettings" Target="webSettings.xml"/><Relationship Id="rId9" Type="http://schemas.openxmlformats.org/officeDocument/2006/relationships/hyperlink" Target="https://doi.org/10.1086/29463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2215</Words>
  <Characters>12627</Characters>
  <Application>Microsoft Office Word</Application>
  <DocSecurity>0</DocSecurity>
  <Lines>105</Lines>
  <Paragraphs>29</Paragraphs>
  <ScaleCrop>false</ScaleCrop>
  <Company/>
  <LinksUpToDate>false</LinksUpToDate>
  <CharactersWithSpaces>14813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SHAMALI, UBAY (PGT)</cp:lastModifiedBy>
  <cp:revision>10</cp:revision>
  <dcterms:created xsi:type="dcterms:W3CDTF">2026-05-09T02:24:00Z</dcterms:created>
  <dcterms:modified xsi:type="dcterms:W3CDTF">2026-08-19T00:31:00Z</dcterms:modified>
</cp:coreProperties>
</file>